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E6" w:rsidRDefault="005E70E6">
      <w:pPr>
        <w:rPr>
          <w:rFonts w:cs="Arial"/>
          <w:b/>
          <w:sz w:val="24"/>
        </w:rPr>
      </w:pPr>
    </w:p>
    <w:p w:rsidR="00A7120C" w:rsidRPr="001C2FE8" w:rsidRDefault="00A7120C" w:rsidP="00A7120C">
      <w:pPr>
        <w:rPr>
          <w:rFonts w:cs="Arial"/>
          <w:b/>
          <w:sz w:val="24"/>
        </w:rPr>
      </w:pPr>
      <w:r w:rsidRPr="001C2FE8">
        <w:rPr>
          <w:rFonts w:cs="Arial"/>
          <w:b/>
          <w:sz w:val="24"/>
        </w:rPr>
        <w:t xml:space="preserve">Deuxième partie : Étude d’un document </w:t>
      </w:r>
      <w:r w:rsidRPr="001C2FE8">
        <w:rPr>
          <w:rFonts w:cs="Arial"/>
          <w:b/>
          <w:i/>
          <w:sz w:val="24"/>
        </w:rPr>
        <w:t>(4 points)</w:t>
      </w:r>
    </w:p>
    <w:p w:rsidR="00A7120C" w:rsidRDefault="00A7120C" w:rsidP="00A7120C">
      <w:pPr>
        <w:ind w:right="-114"/>
        <w:jc w:val="both"/>
        <w:rPr>
          <w:rFonts w:cs="Arial"/>
          <w:sz w:val="24"/>
        </w:rPr>
      </w:pPr>
    </w:p>
    <w:p w:rsidR="005E70E6" w:rsidRDefault="005E2FDF" w:rsidP="005E70E6">
      <w:pPr>
        <w:ind w:right="-114"/>
        <w:jc w:val="both"/>
        <w:rPr>
          <w:rFonts w:cs="Arial"/>
          <w:sz w:val="24"/>
        </w:rPr>
      </w:pPr>
      <w:r>
        <w:rPr>
          <w:rFonts w:cs="Arial"/>
          <w:sz w:val="24"/>
        </w:rPr>
        <w:t>Vous présenterez</w:t>
      </w:r>
      <w:r w:rsidR="00A450A0">
        <w:rPr>
          <w:rFonts w:cs="Arial"/>
          <w:sz w:val="24"/>
        </w:rPr>
        <w:t xml:space="preserve"> le document</w:t>
      </w:r>
      <w:r w:rsidR="00D14E3D">
        <w:rPr>
          <w:rFonts w:cs="Arial"/>
          <w:sz w:val="24"/>
        </w:rPr>
        <w:t xml:space="preserve"> puis</w:t>
      </w:r>
      <w:r w:rsidR="00A450A0">
        <w:rPr>
          <w:rFonts w:cs="Arial"/>
          <w:sz w:val="24"/>
        </w:rPr>
        <w:t xml:space="preserve"> vous </w:t>
      </w:r>
      <w:r w:rsidR="00111967">
        <w:rPr>
          <w:rFonts w:cs="Arial"/>
          <w:sz w:val="24"/>
        </w:rPr>
        <w:t>montrerez les évolutions du commerce qu’il met en évidence</w:t>
      </w:r>
      <w:r w:rsidR="0021487A">
        <w:rPr>
          <w:rFonts w:cs="Arial"/>
          <w:sz w:val="24"/>
        </w:rPr>
        <w:t>.</w:t>
      </w:r>
    </w:p>
    <w:p w:rsidR="005E70E6" w:rsidRDefault="005E70E6" w:rsidP="005E70E6">
      <w:pPr>
        <w:ind w:right="-114"/>
        <w:jc w:val="both"/>
        <w:rPr>
          <w:rFonts w:cs="Arial"/>
          <w:iCs/>
          <w:color w:val="000000"/>
          <w:sz w:val="22"/>
          <w:szCs w:val="22"/>
        </w:rPr>
      </w:pPr>
      <w:bookmarkStart w:id="0" w:name="_GoBack"/>
      <w:bookmarkEnd w:id="0"/>
    </w:p>
    <w:p w:rsidR="00B63007" w:rsidRDefault="005E70E6" w:rsidP="005E70E6">
      <w:pPr>
        <w:jc w:val="center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>Exportations, importations</w:t>
      </w:r>
      <w:r w:rsidR="00C611D6">
        <w:rPr>
          <w:rFonts w:cs="Arial"/>
          <w:b/>
          <w:iCs/>
          <w:color w:val="000000"/>
          <w:sz w:val="24"/>
        </w:rPr>
        <w:t xml:space="preserve"> de biens</w:t>
      </w:r>
      <w:r>
        <w:rPr>
          <w:rFonts w:cs="Arial"/>
          <w:b/>
          <w:iCs/>
          <w:color w:val="000000"/>
          <w:sz w:val="24"/>
        </w:rPr>
        <w:t xml:space="preserve"> </w:t>
      </w:r>
    </w:p>
    <w:p w:rsidR="005E70E6" w:rsidRDefault="005E70E6" w:rsidP="005E70E6">
      <w:pPr>
        <w:jc w:val="center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 xml:space="preserve">et solde de la balance commerciale de la </w:t>
      </w:r>
      <w:r w:rsidR="00B63007">
        <w:rPr>
          <w:rFonts w:cs="Arial"/>
          <w:b/>
          <w:iCs/>
          <w:color w:val="000000"/>
          <w:sz w:val="24"/>
        </w:rPr>
        <w:t>France</w:t>
      </w:r>
    </w:p>
    <w:p w:rsidR="00B63007" w:rsidRDefault="00B63007" w:rsidP="005E70E6">
      <w:pPr>
        <w:jc w:val="center"/>
        <w:rPr>
          <w:rFonts w:cs="Arial"/>
          <w:b/>
          <w:iCs/>
          <w:color w:val="000000"/>
          <w:sz w:val="24"/>
        </w:rPr>
      </w:pPr>
    </w:p>
    <w:p w:rsidR="00D67447" w:rsidRDefault="00D67447" w:rsidP="005E70E6">
      <w:pPr>
        <w:jc w:val="center"/>
        <w:rPr>
          <w:rFonts w:cs="Arial"/>
          <w:b/>
          <w:iCs/>
          <w:color w:val="000000"/>
          <w:sz w:val="24"/>
        </w:rPr>
      </w:pPr>
      <w:r>
        <w:rPr>
          <w:noProof/>
        </w:rPr>
        <w:drawing>
          <wp:inline distT="0" distB="0" distL="0" distR="0" wp14:anchorId="67AC5FA0" wp14:editId="4BDCF598">
            <wp:extent cx="5756910" cy="3941445"/>
            <wp:effectExtent l="0" t="0" r="15240" b="190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B54DB0DA-6483-4218-BB03-BE3E0B7F3C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3007" w:rsidRPr="00A75E6C" w:rsidRDefault="00B63007" w:rsidP="00111967">
      <w:pPr>
        <w:jc w:val="right"/>
        <w:rPr>
          <w:rFonts w:cs="Arial"/>
          <w:iCs/>
          <w:sz w:val="22"/>
          <w:szCs w:val="22"/>
        </w:rPr>
      </w:pPr>
    </w:p>
    <w:p w:rsidR="001A33DB" w:rsidRDefault="00111967" w:rsidP="009F2A71">
      <w:pPr>
        <w:jc w:val="right"/>
        <w:rPr>
          <w:rFonts w:cs="Arial"/>
        </w:rPr>
      </w:pPr>
      <w:r w:rsidRPr="00A75E6C">
        <w:rPr>
          <w:rFonts w:cs="Arial"/>
          <w:iCs/>
          <w:sz w:val="22"/>
          <w:szCs w:val="22"/>
        </w:rPr>
        <w:t>Source : D</w:t>
      </w:r>
      <w:r w:rsidR="00C46E2F" w:rsidRPr="00A75E6C">
        <w:rPr>
          <w:rFonts w:cs="Arial"/>
          <w:iCs/>
          <w:sz w:val="22"/>
          <w:szCs w:val="22"/>
        </w:rPr>
        <w:t>irection Générale des Douanes et Droits Indirects.</w:t>
      </w:r>
      <w:r w:rsidR="009F2A71">
        <w:rPr>
          <w:rFonts w:cs="Arial"/>
        </w:rPr>
        <w:t xml:space="preserve"> </w:t>
      </w:r>
    </w:p>
    <w:p w:rsidR="004A2CF7" w:rsidRDefault="004A2CF7">
      <w:pPr>
        <w:rPr>
          <w:rFonts w:cs="Arial"/>
          <w:sz w:val="24"/>
          <w:szCs w:val="24"/>
        </w:rPr>
      </w:pPr>
    </w:p>
    <w:sectPr w:rsidR="004A2CF7" w:rsidSect="005120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76A"/>
    <w:multiLevelType w:val="hybridMultilevel"/>
    <w:tmpl w:val="FBAA6E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F3C"/>
    <w:multiLevelType w:val="hybridMultilevel"/>
    <w:tmpl w:val="3A3A4C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072"/>
    <w:multiLevelType w:val="multilevel"/>
    <w:tmpl w:val="8F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876B2"/>
    <w:multiLevelType w:val="hybridMultilevel"/>
    <w:tmpl w:val="AA7A7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27F"/>
    <w:multiLevelType w:val="hybridMultilevel"/>
    <w:tmpl w:val="BE684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6FBE"/>
    <w:multiLevelType w:val="hybridMultilevel"/>
    <w:tmpl w:val="5B6259D8"/>
    <w:lvl w:ilvl="0" w:tplc="0D002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1B80"/>
    <w:multiLevelType w:val="hybridMultilevel"/>
    <w:tmpl w:val="7B1A27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C5E9F"/>
    <w:multiLevelType w:val="hybridMultilevel"/>
    <w:tmpl w:val="A13E51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0835EF"/>
    <w:multiLevelType w:val="multilevel"/>
    <w:tmpl w:val="BB7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27736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A3A"/>
    <w:multiLevelType w:val="hybridMultilevel"/>
    <w:tmpl w:val="A8AC52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5F7A"/>
    <w:multiLevelType w:val="hybridMultilevel"/>
    <w:tmpl w:val="ED882B5A"/>
    <w:lvl w:ilvl="0" w:tplc="FD8C813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3571"/>
    <w:multiLevelType w:val="hybridMultilevel"/>
    <w:tmpl w:val="CD6421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B5840"/>
    <w:multiLevelType w:val="hybridMultilevel"/>
    <w:tmpl w:val="4E1CE2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401A95"/>
    <w:multiLevelType w:val="hybridMultilevel"/>
    <w:tmpl w:val="EBBC2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DBA"/>
    <w:multiLevelType w:val="hybridMultilevel"/>
    <w:tmpl w:val="B308AA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0C"/>
    <w:rsid w:val="00014380"/>
    <w:rsid w:val="00015D61"/>
    <w:rsid w:val="00022830"/>
    <w:rsid w:val="000310D6"/>
    <w:rsid w:val="00034A92"/>
    <w:rsid w:val="00053E32"/>
    <w:rsid w:val="00074B68"/>
    <w:rsid w:val="00075497"/>
    <w:rsid w:val="00077019"/>
    <w:rsid w:val="000816BF"/>
    <w:rsid w:val="00091361"/>
    <w:rsid w:val="0009387D"/>
    <w:rsid w:val="000B62BF"/>
    <w:rsid w:val="000C0E6A"/>
    <w:rsid w:val="00111967"/>
    <w:rsid w:val="00111F98"/>
    <w:rsid w:val="0012570B"/>
    <w:rsid w:val="00131828"/>
    <w:rsid w:val="001507E8"/>
    <w:rsid w:val="001600DE"/>
    <w:rsid w:val="00161A68"/>
    <w:rsid w:val="001621B8"/>
    <w:rsid w:val="001674FD"/>
    <w:rsid w:val="00181EB6"/>
    <w:rsid w:val="00195904"/>
    <w:rsid w:val="00196746"/>
    <w:rsid w:val="001A33DB"/>
    <w:rsid w:val="001A689E"/>
    <w:rsid w:val="001B0FF9"/>
    <w:rsid w:val="001B141F"/>
    <w:rsid w:val="001B2F3E"/>
    <w:rsid w:val="001B3A52"/>
    <w:rsid w:val="001B3E2F"/>
    <w:rsid w:val="001B46F9"/>
    <w:rsid w:val="001C5377"/>
    <w:rsid w:val="001D6C31"/>
    <w:rsid w:val="001E153F"/>
    <w:rsid w:val="001E2F20"/>
    <w:rsid w:val="001F276F"/>
    <w:rsid w:val="001F79E5"/>
    <w:rsid w:val="002076B4"/>
    <w:rsid w:val="002108E8"/>
    <w:rsid w:val="00213847"/>
    <w:rsid w:val="0021487A"/>
    <w:rsid w:val="00220BC6"/>
    <w:rsid w:val="00225EA2"/>
    <w:rsid w:val="00234C82"/>
    <w:rsid w:val="0024210E"/>
    <w:rsid w:val="0025399D"/>
    <w:rsid w:val="002736C8"/>
    <w:rsid w:val="00273CB0"/>
    <w:rsid w:val="002757F0"/>
    <w:rsid w:val="00277C4E"/>
    <w:rsid w:val="002832E8"/>
    <w:rsid w:val="00284F24"/>
    <w:rsid w:val="00286251"/>
    <w:rsid w:val="00292A34"/>
    <w:rsid w:val="002A1D65"/>
    <w:rsid w:val="002A3599"/>
    <w:rsid w:val="002B7FEE"/>
    <w:rsid w:val="002C6FEA"/>
    <w:rsid w:val="002E50DF"/>
    <w:rsid w:val="002F5782"/>
    <w:rsid w:val="00300963"/>
    <w:rsid w:val="00311D2D"/>
    <w:rsid w:val="00332743"/>
    <w:rsid w:val="00346FBA"/>
    <w:rsid w:val="00355580"/>
    <w:rsid w:val="0035710D"/>
    <w:rsid w:val="00360F55"/>
    <w:rsid w:val="0036521A"/>
    <w:rsid w:val="003753BD"/>
    <w:rsid w:val="003763DF"/>
    <w:rsid w:val="003771A1"/>
    <w:rsid w:val="003B673A"/>
    <w:rsid w:val="003C605E"/>
    <w:rsid w:val="003D095E"/>
    <w:rsid w:val="003D4A60"/>
    <w:rsid w:val="003E220A"/>
    <w:rsid w:val="00405008"/>
    <w:rsid w:val="00412EC4"/>
    <w:rsid w:val="00414E01"/>
    <w:rsid w:val="00431789"/>
    <w:rsid w:val="00431B5D"/>
    <w:rsid w:val="00446593"/>
    <w:rsid w:val="00455E6B"/>
    <w:rsid w:val="004662E5"/>
    <w:rsid w:val="00495B8C"/>
    <w:rsid w:val="004A261C"/>
    <w:rsid w:val="004A2CF7"/>
    <w:rsid w:val="004B092C"/>
    <w:rsid w:val="004B4638"/>
    <w:rsid w:val="004B6BF6"/>
    <w:rsid w:val="004C1B0A"/>
    <w:rsid w:val="004D1A7A"/>
    <w:rsid w:val="004D5578"/>
    <w:rsid w:val="004E1F57"/>
    <w:rsid w:val="004E387E"/>
    <w:rsid w:val="004F1C7D"/>
    <w:rsid w:val="00500311"/>
    <w:rsid w:val="00501079"/>
    <w:rsid w:val="00502C1D"/>
    <w:rsid w:val="005058A7"/>
    <w:rsid w:val="00511B0C"/>
    <w:rsid w:val="005120AD"/>
    <w:rsid w:val="00514D3D"/>
    <w:rsid w:val="00524778"/>
    <w:rsid w:val="005674D4"/>
    <w:rsid w:val="00575728"/>
    <w:rsid w:val="005773A6"/>
    <w:rsid w:val="0059272E"/>
    <w:rsid w:val="005943C3"/>
    <w:rsid w:val="005961BB"/>
    <w:rsid w:val="005C0CA2"/>
    <w:rsid w:val="005C622D"/>
    <w:rsid w:val="005E2FDF"/>
    <w:rsid w:val="005E6FE8"/>
    <w:rsid w:val="005E70E6"/>
    <w:rsid w:val="005F2D97"/>
    <w:rsid w:val="00602D92"/>
    <w:rsid w:val="00606889"/>
    <w:rsid w:val="0061374D"/>
    <w:rsid w:val="00616799"/>
    <w:rsid w:val="0062156E"/>
    <w:rsid w:val="006217C8"/>
    <w:rsid w:val="00630550"/>
    <w:rsid w:val="006335F0"/>
    <w:rsid w:val="0063753E"/>
    <w:rsid w:val="0064315D"/>
    <w:rsid w:val="00651758"/>
    <w:rsid w:val="00671078"/>
    <w:rsid w:val="0067302D"/>
    <w:rsid w:val="006828F0"/>
    <w:rsid w:val="006835CB"/>
    <w:rsid w:val="00685074"/>
    <w:rsid w:val="00685F47"/>
    <w:rsid w:val="00691E50"/>
    <w:rsid w:val="0069407F"/>
    <w:rsid w:val="006A394A"/>
    <w:rsid w:val="006B038A"/>
    <w:rsid w:val="006B4827"/>
    <w:rsid w:val="006B778F"/>
    <w:rsid w:val="006C3456"/>
    <w:rsid w:val="006C7E7C"/>
    <w:rsid w:val="006D31C3"/>
    <w:rsid w:val="006E5501"/>
    <w:rsid w:val="006F6246"/>
    <w:rsid w:val="00701A09"/>
    <w:rsid w:val="00723FBE"/>
    <w:rsid w:val="00726BE3"/>
    <w:rsid w:val="007405E4"/>
    <w:rsid w:val="00746C32"/>
    <w:rsid w:val="00752D18"/>
    <w:rsid w:val="00757BAB"/>
    <w:rsid w:val="007600D1"/>
    <w:rsid w:val="00764506"/>
    <w:rsid w:val="007656C4"/>
    <w:rsid w:val="00775ED3"/>
    <w:rsid w:val="0079612C"/>
    <w:rsid w:val="007C2C45"/>
    <w:rsid w:val="007E0879"/>
    <w:rsid w:val="007E2E63"/>
    <w:rsid w:val="007E5207"/>
    <w:rsid w:val="008113C5"/>
    <w:rsid w:val="0082082F"/>
    <w:rsid w:val="00820909"/>
    <w:rsid w:val="0082574E"/>
    <w:rsid w:val="00835FDC"/>
    <w:rsid w:val="00840076"/>
    <w:rsid w:val="00852B55"/>
    <w:rsid w:val="00856766"/>
    <w:rsid w:val="00863E95"/>
    <w:rsid w:val="00874CC7"/>
    <w:rsid w:val="00886E5A"/>
    <w:rsid w:val="008A298B"/>
    <w:rsid w:val="008A52CE"/>
    <w:rsid w:val="008B53B0"/>
    <w:rsid w:val="008D216B"/>
    <w:rsid w:val="008D391F"/>
    <w:rsid w:val="008E32DD"/>
    <w:rsid w:val="008F52EC"/>
    <w:rsid w:val="00905C71"/>
    <w:rsid w:val="00910C9F"/>
    <w:rsid w:val="00911191"/>
    <w:rsid w:val="00916B38"/>
    <w:rsid w:val="009220AB"/>
    <w:rsid w:val="009478F9"/>
    <w:rsid w:val="009542C5"/>
    <w:rsid w:val="00955EF2"/>
    <w:rsid w:val="00963EC1"/>
    <w:rsid w:val="009714DA"/>
    <w:rsid w:val="00994F51"/>
    <w:rsid w:val="009A4B29"/>
    <w:rsid w:val="009B3A60"/>
    <w:rsid w:val="009B7DE2"/>
    <w:rsid w:val="009C1E9E"/>
    <w:rsid w:val="009C3535"/>
    <w:rsid w:val="009F2A71"/>
    <w:rsid w:val="00A0122B"/>
    <w:rsid w:val="00A02B15"/>
    <w:rsid w:val="00A27B18"/>
    <w:rsid w:val="00A3349C"/>
    <w:rsid w:val="00A40D36"/>
    <w:rsid w:val="00A450A0"/>
    <w:rsid w:val="00A706CA"/>
    <w:rsid w:val="00A7120C"/>
    <w:rsid w:val="00A74BC3"/>
    <w:rsid w:val="00A75E6C"/>
    <w:rsid w:val="00A95EFA"/>
    <w:rsid w:val="00AA03EA"/>
    <w:rsid w:val="00AB0AF6"/>
    <w:rsid w:val="00AC6192"/>
    <w:rsid w:val="00AF0913"/>
    <w:rsid w:val="00B10209"/>
    <w:rsid w:val="00B16601"/>
    <w:rsid w:val="00B379D8"/>
    <w:rsid w:val="00B47873"/>
    <w:rsid w:val="00B5364A"/>
    <w:rsid w:val="00B63007"/>
    <w:rsid w:val="00B64040"/>
    <w:rsid w:val="00B65C9E"/>
    <w:rsid w:val="00B80498"/>
    <w:rsid w:val="00B80E89"/>
    <w:rsid w:val="00B82B50"/>
    <w:rsid w:val="00B97A6A"/>
    <w:rsid w:val="00BB40EC"/>
    <w:rsid w:val="00BC4B37"/>
    <w:rsid w:val="00BC66DA"/>
    <w:rsid w:val="00BE2465"/>
    <w:rsid w:val="00BE763D"/>
    <w:rsid w:val="00BE7EAE"/>
    <w:rsid w:val="00BF0CBB"/>
    <w:rsid w:val="00BF7DAD"/>
    <w:rsid w:val="00C01553"/>
    <w:rsid w:val="00C04D60"/>
    <w:rsid w:val="00C33847"/>
    <w:rsid w:val="00C46E2F"/>
    <w:rsid w:val="00C611D6"/>
    <w:rsid w:val="00C6546E"/>
    <w:rsid w:val="00C66C8A"/>
    <w:rsid w:val="00C72754"/>
    <w:rsid w:val="00C72AE4"/>
    <w:rsid w:val="00C73203"/>
    <w:rsid w:val="00C9342A"/>
    <w:rsid w:val="00C95AB9"/>
    <w:rsid w:val="00CC436D"/>
    <w:rsid w:val="00CD64D9"/>
    <w:rsid w:val="00CD7A28"/>
    <w:rsid w:val="00D14E3D"/>
    <w:rsid w:val="00D17AB9"/>
    <w:rsid w:val="00D32FB5"/>
    <w:rsid w:val="00D43944"/>
    <w:rsid w:val="00D46EAD"/>
    <w:rsid w:val="00D47572"/>
    <w:rsid w:val="00D509AA"/>
    <w:rsid w:val="00D52EB3"/>
    <w:rsid w:val="00D67447"/>
    <w:rsid w:val="00D82D24"/>
    <w:rsid w:val="00D82F9D"/>
    <w:rsid w:val="00DD4C01"/>
    <w:rsid w:val="00DE3238"/>
    <w:rsid w:val="00DE74B5"/>
    <w:rsid w:val="00DF5116"/>
    <w:rsid w:val="00DF66B8"/>
    <w:rsid w:val="00E0104E"/>
    <w:rsid w:val="00E22736"/>
    <w:rsid w:val="00E52700"/>
    <w:rsid w:val="00E53DD2"/>
    <w:rsid w:val="00E62BE2"/>
    <w:rsid w:val="00E63C72"/>
    <w:rsid w:val="00E64BAA"/>
    <w:rsid w:val="00E75EBB"/>
    <w:rsid w:val="00E775CE"/>
    <w:rsid w:val="00E86712"/>
    <w:rsid w:val="00E91A5E"/>
    <w:rsid w:val="00EB4A35"/>
    <w:rsid w:val="00EF7D58"/>
    <w:rsid w:val="00F104A3"/>
    <w:rsid w:val="00F11726"/>
    <w:rsid w:val="00F11A0B"/>
    <w:rsid w:val="00F57549"/>
    <w:rsid w:val="00F57C25"/>
    <w:rsid w:val="00F67586"/>
    <w:rsid w:val="00F77F9D"/>
    <w:rsid w:val="00F80B43"/>
    <w:rsid w:val="00F810C5"/>
    <w:rsid w:val="00F850EB"/>
    <w:rsid w:val="00FA4F72"/>
    <w:rsid w:val="00FB0D12"/>
    <w:rsid w:val="00FC28AD"/>
    <w:rsid w:val="00FC616F"/>
    <w:rsid w:val="00FD3FB0"/>
    <w:rsid w:val="00FD4CD0"/>
    <w:rsid w:val="00FD53B1"/>
    <w:rsid w:val="00FE242C"/>
    <w:rsid w:val="00FE4817"/>
    <w:rsid w:val="00FF1EB7"/>
    <w:rsid w:val="00FF351E"/>
    <w:rsid w:val="00FF3A51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A08C-FA41-4379-AAAB-DF45389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0C"/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F77F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table" w:styleId="Grilledutableau">
    <w:name w:val="Table Grid"/>
    <w:basedOn w:val="TableauNormal"/>
    <w:rsid w:val="00A95E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95EFA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63753E"/>
    <w:pPr>
      <w:widowControl w:val="0"/>
      <w:spacing w:line="243" w:lineRule="exact"/>
      <w:ind w:left="103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rsid w:val="0063753E"/>
    <w:pPr>
      <w:widowControl w:val="0"/>
      <w:ind w:left="387" w:right="1" w:hanging="271"/>
      <w:jc w:val="both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C1E9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C1E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E9E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link w:val="Textedebulles"/>
    <w:uiPriority w:val="99"/>
    <w:semiHidden/>
    <w:rsid w:val="009C1E9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itre11">
    <w:name w:val="Titre 11"/>
    <w:basedOn w:val="Normal"/>
    <w:uiPriority w:val="1"/>
    <w:qFormat/>
    <w:rsid w:val="00F57C25"/>
    <w:pPr>
      <w:widowControl w:val="0"/>
      <w:spacing w:before="37"/>
      <w:ind w:left="116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886E5A"/>
  </w:style>
  <w:style w:type="character" w:styleId="Lienhypertexte">
    <w:name w:val="Hyperlink"/>
    <w:uiPriority w:val="99"/>
    <w:unhideWhenUsed/>
    <w:rsid w:val="00886E5A"/>
    <w:rPr>
      <w:color w:val="0000FF"/>
      <w:u w:val="single"/>
    </w:rPr>
  </w:style>
  <w:style w:type="paragraph" w:customStyle="1" w:styleId="Default">
    <w:name w:val="Default"/>
    <w:rsid w:val="001E15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1A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A7A"/>
  </w:style>
  <w:style w:type="character" w:customStyle="1" w:styleId="CommentaireCar">
    <w:name w:val="Commentaire Car"/>
    <w:basedOn w:val="Policepardfaut"/>
    <w:link w:val="Commentaire"/>
    <w:uiPriority w:val="99"/>
    <w:semiHidden/>
    <w:rsid w:val="004D1A7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A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A7A"/>
    <w:rPr>
      <w:rFonts w:ascii="Arial" w:hAnsi="Arial"/>
      <w:b/>
      <w:bCs/>
    </w:rPr>
  </w:style>
  <w:style w:type="paragraph" w:customStyle="1" w:styleId="Textbody">
    <w:name w:val="Text body"/>
    <w:basedOn w:val="Normal"/>
    <w:rsid w:val="00863E9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832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7F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77F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F9D"/>
    <w:rPr>
      <w:b/>
      <w:bCs/>
    </w:rPr>
  </w:style>
  <w:style w:type="character" w:styleId="Accentuation">
    <w:name w:val="Emphasis"/>
    <w:basedOn w:val="Policepardfaut"/>
    <w:uiPriority w:val="20"/>
    <w:qFormat/>
    <w:rsid w:val="00F77F9D"/>
    <w:rPr>
      <w:i/>
      <w:iCs/>
    </w:rPr>
  </w:style>
  <w:style w:type="paragraph" w:customStyle="1" w:styleId="TB2">
    <w:name w:val="TB2"/>
    <w:basedOn w:val="Normal"/>
    <w:next w:val="Normal"/>
    <w:rsid w:val="0059272E"/>
    <w:pPr>
      <w:pBdr>
        <w:between w:val="single" w:sz="6" w:space="1" w:color="auto"/>
      </w:pBdr>
      <w:tabs>
        <w:tab w:val="left" w:pos="2552"/>
        <w:tab w:val="left" w:pos="7938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/>
      <w:b/>
    </w:rPr>
  </w:style>
  <w:style w:type="paragraph" w:customStyle="1" w:styleId="TB3">
    <w:name w:val="TB3"/>
    <w:basedOn w:val="TB2"/>
    <w:rsid w:val="0059272E"/>
    <w:rPr>
      <w:b w:val="0"/>
    </w:rPr>
  </w:style>
  <w:style w:type="paragraph" w:customStyle="1" w:styleId="Source">
    <w:name w:val="Source"/>
    <w:basedOn w:val="Normal"/>
    <w:next w:val="Normal"/>
    <w:rsid w:val="0059272E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rFonts w:ascii="Times New Roman" w:eastAsia="Times New Roman" w:hAnsi="Times New Roman"/>
      <w:sz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7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973">
          <w:marLeft w:val="0"/>
          <w:marRight w:val="0"/>
          <w:marTop w:val="240"/>
          <w:marBottom w:val="0"/>
          <w:divBdr>
            <w:top w:val="single" w:sz="6" w:space="11" w:color="DDDDDD"/>
            <w:left w:val="single" w:sz="6" w:space="11" w:color="F0F0F0"/>
            <w:bottom w:val="single" w:sz="6" w:space="11" w:color="FBFBFB"/>
            <w:right w:val="single" w:sz="6" w:space="11" w:color="F0F0F0"/>
          </w:divBdr>
          <w:divsChild>
            <w:div w:id="2072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SIEC\2017-2018\EC2\econ-com-ext-solde-balance-com_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Données!$D$4</c:f>
              <c:strCache>
                <c:ptCount val="1"/>
                <c:pt idx="0">
                  <c:v> Solde de la balance commerciale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cat>
            <c:strRef>
              <c:f>Données!$A$5:$A$35</c:f>
              <c:strCache>
                <c:ptCount val="31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  <c:pt idx="28">
                  <c:v>2014</c:v>
                </c:pt>
                <c:pt idx="29">
                  <c:v>2015</c:v>
                </c:pt>
                <c:pt idx="30">
                  <c:v>2016</c:v>
                </c:pt>
              </c:strCache>
            </c:strRef>
          </c:cat>
          <c:val>
            <c:numRef>
              <c:f>Données!$D$5:$D$35</c:f>
              <c:numCache>
                <c:formatCode>#,##0.0</c:formatCode>
                <c:ptCount val="31"/>
                <c:pt idx="0">
                  <c:v>1.9E-2</c:v>
                </c:pt>
                <c:pt idx="1">
                  <c:v>-4.819</c:v>
                </c:pt>
                <c:pt idx="2">
                  <c:v>-8.2789999999999999</c:v>
                </c:pt>
                <c:pt idx="3">
                  <c:v>-10.602</c:v>
                </c:pt>
                <c:pt idx="4">
                  <c:v>-12.154999999999999</c:v>
                </c:pt>
                <c:pt idx="5">
                  <c:v>-9.8689999999999998</c:v>
                </c:pt>
                <c:pt idx="6">
                  <c:v>-0.29599999999999999</c:v>
                </c:pt>
                <c:pt idx="7">
                  <c:v>8.2910000000000004</c:v>
                </c:pt>
                <c:pt idx="8">
                  <c:v>5.7510000000000003</c:v>
                </c:pt>
                <c:pt idx="9">
                  <c:v>8.5440000000000005</c:v>
                </c:pt>
                <c:pt idx="10">
                  <c:v>10.911</c:v>
                </c:pt>
                <c:pt idx="11">
                  <c:v>23.114999999999998</c:v>
                </c:pt>
                <c:pt idx="12">
                  <c:v>19.338000000000001</c:v>
                </c:pt>
                <c:pt idx="13">
                  <c:v>13.029</c:v>
                </c:pt>
                <c:pt idx="14">
                  <c:v>-5.383</c:v>
                </c:pt>
                <c:pt idx="15">
                  <c:v>-1.5329999999999999</c:v>
                </c:pt>
                <c:pt idx="16">
                  <c:v>3.548</c:v>
                </c:pt>
                <c:pt idx="17">
                  <c:v>-0.23100000000000001</c:v>
                </c:pt>
                <c:pt idx="18">
                  <c:v>-5.7389999999999999</c:v>
                </c:pt>
                <c:pt idx="19">
                  <c:v>-24.213000000000001</c:v>
                </c:pt>
                <c:pt idx="20">
                  <c:v>-29.928000000000001</c:v>
                </c:pt>
                <c:pt idx="21">
                  <c:v>-42.494</c:v>
                </c:pt>
                <c:pt idx="22">
                  <c:v>-56.219000000000001</c:v>
                </c:pt>
                <c:pt idx="23">
                  <c:v>-45.39</c:v>
                </c:pt>
                <c:pt idx="24">
                  <c:v>-52.445</c:v>
                </c:pt>
                <c:pt idx="25">
                  <c:v>-74.510000000000005</c:v>
                </c:pt>
                <c:pt idx="26">
                  <c:v>-67.581999999999994</c:v>
                </c:pt>
                <c:pt idx="27">
                  <c:v>-61.780999999999999</c:v>
                </c:pt>
                <c:pt idx="28">
                  <c:v>-58.500999999999998</c:v>
                </c:pt>
                <c:pt idx="29">
                  <c:v>-45.225000000000001</c:v>
                </c:pt>
                <c:pt idx="30">
                  <c:v>-48.363999999999997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C-4FB4-914F-0C89ABBAC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4461568"/>
        <c:axId val="244455296"/>
      </c:barChart>
      <c:lineChart>
        <c:grouping val="standard"/>
        <c:varyColors val="0"/>
        <c:ser>
          <c:idx val="0"/>
          <c:order val="0"/>
          <c:tx>
            <c:strRef>
              <c:f>Données!$B$4</c:f>
              <c:strCache>
                <c:ptCount val="1"/>
                <c:pt idx="0">
                  <c:v>Exportations</c:v>
                </c:pt>
              </c:strCache>
            </c:strRef>
          </c:tx>
          <c:spPr>
            <a:ln w="38100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Données!$A$5:$A$35</c:f>
              <c:strCache>
                <c:ptCount val="31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  <c:pt idx="28">
                  <c:v>2014</c:v>
                </c:pt>
                <c:pt idx="29">
                  <c:v>2015</c:v>
                </c:pt>
                <c:pt idx="30">
                  <c:v>2016</c:v>
                </c:pt>
              </c:strCache>
            </c:strRef>
          </c:cat>
          <c:val>
            <c:numRef>
              <c:f>Données!$B$5:$B$35</c:f>
              <c:numCache>
                <c:formatCode>#,##0.0</c:formatCode>
                <c:ptCount val="31"/>
                <c:pt idx="0">
                  <c:v>131.62</c:v>
                </c:pt>
                <c:pt idx="1">
                  <c:v>135.52099999999999</c:v>
                </c:pt>
                <c:pt idx="2">
                  <c:v>149.51230812385569</c:v>
                </c:pt>
                <c:pt idx="3">
                  <c:v>171.32812272755683</c:v>
                </c:pt>
                <c:pt idx="4">
                  <c:v>175.95865033836057</c:v>
                </c:pt>
                <c:pt idx="5">
                  <c:v>182.18138246866789</c:v>
                </c:pt>
                <c:pt idx="6">
                  <c:v>186.60094869023428</c:v>
                </c:pt>
                <c:pt idx="7">
                  <c:v>177.94491254762127</c:v>
                </c:pt>
                <c:pt idx="8">
                  <c:v>198.91376842729019</c:v>
                </c:pt>
                <c:pt idx="9">
                  <c:v>216.25092906660649</c:v>
                </c:pt>
                <c:pt idx="10">
                  <c:v>225.55571461398532</c:v>
                </c:pt>
                <c:pt idx="11">
                  <c:v>260.4047702694628</c:v>
                </c:pt>
                <c:pt idx="12">
                  <c:v>277.47527258293451</c:v>
                </c:pt>
                <c:pt idx="13">
                  <c:v>286.11951500000004</c:v>
                </c:pt>
                <c:pt idx="14">
                  <c:v>329.10958600000004</c:v>
                </c:pt>
                <c:pt idx="15">
                  <c:v>335.21938299999999</c:v>
                </c:pt>
                <c:pt idx="16">
                  <c:v>333.42293999999998</c:v>
                </c:pt>
                <c:pt idx="17">
                  <c:v>327.65360499999997</c:v>
                </c:pt>
                <c:pt idx="18">
                  <c:v>345.25594699999999</c:v>
                </c:pt>
                <c:pt idx="19">
                  <c:v>360.37541499999998</c:v>
                </c:pt>
                <c:pt idx="20">
                  <c:v>394.62205200000005</c:v>
                </c:pt>
                <c:pt idx="21">
                  <c:v>406.48512900000003</c:v>
                </c:pt>
                <c:pt idx="22">
                  <c:v>417.63516699999991</c:v>
                </c:pt>
                <c:pt idx="23">
                  <c:v>346.481537</c:v>
                </c:pt>
                <c:pt idx="24">
                  <c:v>395.03889022100003</c:v>
                </c:pt>
                <c:pt idx="25">
                  <c:v>428.61012407400005</c:v>
                </c:pt>
                <c:pt idx="26">
                  <c:v>442.01376728299999</c:v>
                </c:pt>
                <c:pt idx="27">
                  <c:v>436.17971507499999</c:v>
                </c:pt>
                <c:pt idx="28">
                  <c:v>436.54144951699993</c:v>
                </c:pt>
                <c:pt idx="29">
                  <c:v>455.5466203630001</c:v>
                </c:pt>
                <c:pt idx="30">
                  <c:v>453.03766367700001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8C-4FB4-914F-0C89ABBACFD6}"/>
            </c:ext>
          </c:extLst>
        </c:ser>
        <c:ser>
          <c:idx val="1"/>
          <c:order val="1"/>
          <c:tx>
            <c:strRef>
              <c:f>Données!$C$4</c:f>
              <c:strCache>
                <c:ptCount val="1"/>
                <c:pt idx="0">
                  <c:v>Importations</c:v>
                </c:pt>
              </c:strCache>
            </c:strRef>
          </c:tx>
          <c:spPr>
            <a:ln w="381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Données!$A$5:$A$35</c:f>
              <c:strCache>
                <c:ptCount val="31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  <c:pt idx="28">
                  <c:v>2014</c:v>
                </c:pt>
                <c:pt idx="29">
                  <c:v>2015</c:v>
                </c:pt>
                <c:pt idx="30">
                  <c:v>2016</c:v>
                </c:pt>
              </c:strCache>
            </c:strRef>
          </c:cat>
          <c:val>
            <c:numRef>
              <c:f>Données!$C$5:$C$35</c:f>
              <c:numCache>
                <c:formatCode>#,##0.0</c:formatCode>
                <c:ptCount val="31"/>
                <c:pt idx="0">
                  <c:v>131.601</c:v>
                </c:pt>
                <c:pt idx="1">
                  <c:v>140.34</c:v>
                </c:pt>
                <c:pt idx="2">
                  <c:v>157.79106740228397</c:v>
                </c:pt>
                <c:pt idx="3">
                  <c:v>181.92974082142578</c:v>
                </c:pt>
                <c:pt idx="4">
                  <c:v>188.11374214986654</c:v>
                </c:pt>
                <c:pt idx="5">
                  <c:v>192.05028683282595</c:v>
                </c:pt>
                <c:pt idx="6">
                  <c:v>186.89670719269708</c:v>
                </c:pt>
                <c:pt idx="7">
                  <c:v>169.65358519567593</c:v>
                </c:pt>
                <c:pt idx="8">
                  <c:v>193.16327912483749</c:v>
                </c:pt>
                <c:pt idx="9">
                  <c:v>207.70665843627552</c:v>
                </c:pt>
                <c:pt idx="10">
                  <c:v>214.64453461144251</c:v>
                </c:pt>
                <c:pt idx="11">
                  <c:v>237.29033479111433</c:v>
                </c:pt>
                <c:pt idx="12">
                  <c:v>258.1366861664452</c:v>
                </c:pt>
                <c:pt idx="13">
                  <c:v>273.09148585600002</c:v>
                </c:pt>
                <c:pt idx="14">
                  <c:v>334.49331168800006</c:v>
                </c:pt>
                <c:pt idx="15">
                  <c:v>336.75187965999999</c:v>
                </c:pt>
                <c:pt idx="16">
                  <c:v>329.87535489999999</c:v>
                </c:pt>
                <c:pt idx="17">
                  <c:v>327.88511405999998</c:v>
                </c:pt>
                <c:pt idx="18">
                  <c:v>350.99504222999997</c:v>
                </c:pt>
                <c:pt idx="19">
                  <c:v>384.58784457999991</c:v>
                </c:pt>
                <c:pt idx="20">
                  <c:v>424.54954956000006</c:v>
                </c:pt>
                <c:pt idx="21">
                  <c:v>448.97891419999996</c:v>
                </c:pt>
                <c:pt idx="22">
                  <c:v>473.85376492000006</c:v>
                </c:pt>
                <c:pt idx="23">
                  <c:v>391.87245759200005</c:v>
                </c:pt>
                <c:pt idx="24">
                  <c:v>447.48443050432002</c:v>
                </c:pt>
                <c:pt idx="25">
                  <c:v>503.12024549953281</c:v>
                </c:pt>
                <c:pt idx="26">
                  <c:v>509.59601944481398</c:v>
                </c:pt>
                <c:pt idx="27">
                  <c:v>497.96059569226793</c:v>
                </c:pt>
                <c:pt idx="28">
                  <c:v>495.04205717833798</c:v>
                </c:pt>
                <c:pt idx="29">
                  <c:v>500.77240965300905</c:v>
                </c:pt>
                <c:pt idx="30">
                  <c:v>501.401828606945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8C-4FB4-914F-0C89ABBAC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177152"/>
        <c:axId val="244453376"/>
      </c:lineChart>
      <c:catAx>
        <c:axId val="244177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44453376"/>
        <c:crosses val="autoZero"/>
        <c:auto val="1"/>
        <c:lblAlgn val="ctr"/>
        <c:lblOffset val="100"/>
        <c:noMultiLvlLbl val="0"/>
      </c:catAx>
      <c:valAx>
        <c:axId val="244453376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latin typeface="Arial" panose="020B0604020202020204" pitchFamily="34" charset="0"/>
                    <a:cs typeface="Arial" panose="020B0604020202020204" pitchFamily="34" charset="0"/>
                  </a:rPr>
                  <a:t>Exportations et importations</a:t>
                </a:r>
                <a:r>
                  <a:rPr lang="fr-FR" sz="9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(en milliards d'euros)</a:t>
                </a:r>
                <a:endParaRPr lang="fr-FR" sz="9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9446075003942808E-2"/>
              <c:y val="0.121423836273587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#,##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44177152"/>
        <c:crosses val="autoZero"/>
        <c:crossBetween val="between"/>
        <c:majorUnit val="50"/>
      </c:valAx>
      <c:valAx>
        <c:axId val="244455296"/>
        <c:scaling>
          <c:orientation val="minMax"/>
          <c:max val="120"/>
          <c:min val="-1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latin typeface="Arial" panose="020B0604020202020204" pitchFamily="34" charset="0"/>
                    <a:cs typeface="Arial" panose="020B0604020202020204" pitchFamily="34" charset="0"/>
                  </a:rPr>
                  <a:t>Solde de la balance commercial (en milliards d'euros)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#,##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44461568"/>
        <c:crosses val="max"/>
        <c:crossBetween val="between"/>
        <c:majorUnit val="20"/>
      </c:valAx>
      <c:catAx>
        <c:axId val="244461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4455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0EF1-7F48-4B40-8064-A872F6F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Dissertation s’appuyant sur un dossier documentaire</vt:lpstr>
    </vt:vector>
  </TitlesOfParts>
  <Company>Lycée Robert doisneau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s’appuyant sur un dossier documentaire</dc:title>
  <dc:creator>Marc Pelletier</dc:creator>
  <cp:lastModifiedBy>Cyrille Coissieu</cp:lastModifiedBy>
  <cp:revision>3</cp:revision>
  <cp:lastPrinted>2016-11-10T06:53:00Z</cp:lastPrinted>
  <dcterms:created xsi:type="dcterms:W3CDTF">2018-01-15T01:09:00Z</dcterms:created>
  <dcterms:modified xsi:type="dcterms:W3CDTF">2018-01-15T01:10:00Z</dcterms:modified>
</cp:coreProperties>
</file>