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0C" w:rsidRDefault="00A7120C" w:rsidP="00A7120C">
      <w:pPr>
        <w:rPr>
          <w:rFonts w:cs="Arial"/>
          <w:b/>
          <w:sz w:val="24"/>
        </w:rPr>
      </w:pPr>
      <w:r w:rsidRPr="001C2FE8">
        <w:rPr>
          <w:rFonts w:cs="Arial"/>
          <w:b/>
          <w:iCs/>
          <w:color w:val="000000"/>
          <w:sz w:val="24"/>
        </w:rPr>
        <w:t>Troisième p</w:t>
      </w:r>
      <w:r w:rsidRPr="001C2FE8">
        <w:rPr>
          <w:rFonts w:cs="Arial"/>
          <w:b/>
          <w:sz w:val="24"/>
        </w:rPr>
        <w:t xml:space="preserve">artie : Raisonnement s’appuyant sur un dossier documentaire </w:t>
      </w:r>
    </w:p>
    <w:p w:rsidR="00A7120C" w:rsidRPr="001C2FE8" w:rsidRDefault="00A7120C" w:rsidP="00A7120C">
      <w:pPr>
        <w:rPr>
          <w:rFonts w:cs="Arial"/>
          <w:b/>
          <w:sz w:val="24"/>
        </w:rPr>
      </w:pPr>
      <w:r w:rsidRPr="001C2FE8">
        <w:rPr>
          <w:rFonts w:cs="Arial"/>
          <w:b/>
          <w:i/>
          <w:sz w:val="24"/>
        </w:rPr>
        <w:t>(10 points)</w:t>
      </w:r>
    </w:p>
    <w:p w:rsidR="00A7120C" w:rsidRDefault="00A7120C" w:rsidP="00A7120C">
      <w:pPr>
        <w:jc w:val="center"/>
        <w:rPr>
          <w:rFonts w:cs="Arial"/>
          <w:i/>
          <w:sz w:val="24"/>
        </w:rPr>
      </w:pPr>
    </w:p>
    <w:p w:rsidR="00A7120C" w:rsidRPr="00713017" w:rsidRDefault="00A7120C" w:rsidP="00A7120C">
      <w:pPr>
        <w:jc w:val="center"/>
        <w:rPr>
          <w:rFonts w:cs="Arial"/>
          <w:i/>
          <w:sz w:val="24"/>
        </w:rPr>
      </w:pPr>
      <w:r w:rsidRPr="00713017">
        <w:rPr>
          <w:rFonts w:cs="Arial"/>
          <w:i/>
          <w:sz w:val="24"/>
        </w:rPr>
        <w:t>Cette partie comporte</w:t>
      </w:r>
      <w:r w:rsidR="00BC5B9B">
        <w:rPr>
          <w:rFonts w:cs="Arial"/>
          <w:i/>
          <w:sz w:val="24"/>
        </w:rPr>
        <w:t xml:space="preserve"> trois</w:t>
      </w:r>
      <w:r w:rsidRPr="00713017">
        <w:rPr>
          <w:rFonts w:cs="Arial"/>
          <w:i/>
          <w:sz w:val="24"/>
        </w:rPr>
        <w:t xml:space="preserve"> documents</w:t>
      </w:r>
      <w:r>
        <w:rPr>
          <w:rFonts w:cs="Arial"/>
          <w:i/>
          <w:sz w:val="24"/>
        </w:rPr>
        <w:t>.</w:t>
      </w:r>
    </w:p>
    <w:p w:rsidR="00A7120C" w:rsidRPr="00713017" w:rsidRDefault="00A7120C" w:rsidP="00A7120C">
      <w:pPr>
        <w:jc w:val="center"/>
        <w:rPr>
          <w:rFonts w:cs="Arial"/>
          <w:b/>
          <w:i/>
          <w:sz w:val="24"/>
        </w:rPr>
      </w:pPr>
    </w:p>
    <w:p w:rsidR="00A7120C" w:rsidRPr="001C2FE8" w:rsidRDefault="008E0E3B" w:rsidP="00A7120C">
      <w:pPr>
        <w:rPr>
          <w:rFonts w:cs="Arial"/>
          <w:b/>
          <w:sz w:val="24"/>
        </w:rPr>
      </w:pPr>
      <w:r>
        <w:rPr>
          <w:rFonts w:cs="Arial"/>
          <w:b/>
          <w:sz w:val="24"/>
        </w:rPr>
        <w:t xml:space="preserve">Sujet : </w:t>
      </w:r>
      <w:r w:rsidR="007B430D">
        <w:rPr>
          <w:rFonts w:cs="Arial"/>
          <w:b/>
          <w:sz w:val="24"/>
        </w:rPr>
        <w:t>À l’aide des documents et de vos connaissances, v</w:t>
      </w:r>
      <w:r>
        <w:rPr>
          <w:rFonts w:cs="Arial"/>
          <w:b/>
          <w:sz w:val="24"/>
        </w:rPr>
        <w:t>ous montrerez que le producteur fait des choix portant sur le volume de sa production.</w:t>
      </w:r>
    </w:p>
    <w:p w:rsidR="00A7120C" w:rsidRDefault="00A7120C" w:rsidP="00A7120C">
      <w:pPr>
        <w:rPr>
          <w:rFonts w:cs="Arial"/>
          <w:b/>
          <w:sz w:val="24"/>
        </w:rPr>
      </w:pPr>
    </w:p>
    <w:p w:rsidR="00A7120C" w:rsidRDefault="00A7120C" w:rsidP="00A7120C">
      <w:pPr>
        <w:rPr>
          <w:rFonts w:cs="Arial"/>
          <w:b/>
          <w:sz w:val="24"/>
        </w:rPr>
      </w:pPr>
    </w:p>
    <w:p w:rsidR="00A7120C" w:rsidRDefault="00A7120C" w:rsidP="00A7120C">
      <w:pPr>
        <w:rPr>
          <w:rFonts w:cs="Arial"/>
          <w:b/>
          <w:sz w:val="24"/>
        </w:rPr>
      </w:pPr>
      <w:r w:rsidRPr="001C2FE8">
        <w:rPr>
          <w:rFonts w:cs="Arial"/>
          <w:b/>
          <w:sz w:val="24"/>
        </w:rPr>
        <w:t xml:space="preserve">DOCUMENT 1 </w:t>
      </w:r>
    </w:p>
    <w:p w:rsidR="008E0E3B" w:rsidRDefault="008E0E3B" w:rsidP="00A7120C">
      <w:pPr>
        <w:rPr>
          <w:rFonts w:cs="Arial"/>
          <w:b/>
          <w:sz w:val="24"/>
        </w:rPr>
      </w:pPr>
    </w:p>
    <w:p w:rsidR="008E0E3B" w:rsidRDefault="008E0E3B" w:rsidP="006E6801">
      <w:pPr>
        <w:jc w:val="both"/>
        <w:rPr>
          <w:rFonts w:cs="Arial"/>
          <w:sz w:val="24"/>
        </w:rPr>
      </w:pPr>
      <w:r w:rsidRPr="008E0E3B">
        <w:rPr>
          <w:rFonts w:cs="Arial"/>
          <w:sz w:val="24"/>
        </w:rPr>
        <w:t>Consid</w:t>
      </w:r>
      <w:r>
        <w:rPr>
          <w:rFonts w:cs="Arial"/>
          <w:sz w:val="24"/>
        </w:rPr>
        <w:t>érons une compagnie aérienne qui doit décider combien elle doit faire payer un passager de dernière minute. Supposez qu’il lui en coûte 100 000 euros pour faire voler un avion de 200 places entre Londres et Varsovie. Dans ce cas, le coût moyen est 500 euros par siège dans l’avion. On peut être tenté de conclure que la compagnie aérienne ne doit jamais vendre un billet pour moins de 500 euros. Or en fait la compagnie peut accroître son profit en raisonnant à la marge. Imaginez qu’un avion est sur le point de décoller avec 10 sièges vides et qu’un passager de dernière minute se présente au comptoir ; il est prêt à payer 300 euros pour un vol. Est-il dans l’intérêt de la compagnie de lui vendre ce vol ? Oui, bien-sûr. Si l’avion a des sièges vides, le coût d’un passager additionnel est dérisoire. Bien que le coût moyen d’un passager soit de 500 euros, le coût marginal est simplement le coût du repas consommé par le passager supplémentaire (et qui aura</w:t>
      </w:r>
      <w:r w:rsidR="00FF60AB">
        <w:rPr>
          <w:rFonts w:cs="Arial"/>
          <w:sz w:val="24"/>
        </w:rPr>
        <w:t xml:space="preserve">it été jeté dans tous les cas), auquel il faut ajouter une éventuelle infime augmentation de la consommation de kérosène de l’avion. Tant que le passager en attente paie plus que le coût marginal, il est profitable de lui vendre un billet. </w:t>
      </w:r>
    </w:p>
    <w:p w:rsidR="00FF60AB" w:rsidRDefault="00FF60AB" w:rsidP="00A7120C">
      <w:pPr>
        <w:rPr>
          <w:rFonts w:cs="Arial"/>
          <w:sz w:val="24"/>
        </w:rPr>
      </w:pPr>
    </w:p>
    <w:p w:rsidR="00FF60AB" w:rsidRPr="00091CAE" w:rsidRDefault="006E6801" w:rsidP="00A7120C">
      <w:pPr>
        <w:rPr>
          <w:rFonts w:cs="Arial"/>
          <w:sz w:val="22"/>
          <w:szCs w:val="22"/>
        </w:rPr>
      </w:pPr>
      <w:r w:rsidRPr="00091CAE">
        <w:rPr>
          <w:rFonts w:cs="Arial"/>
          <w:sz w:val="22"/>
          <w:szCs w:val="22"/>
        </w:rPr>
        <w:t>Source : G.N. MANKIW</w:t>
      </w:r>
      <w:r w:rsidR="00FF60AB" w:rsidRPr="00091CAE">
        <w:rPr>
          <w:rFonts w:cs="Arial"/>
          <w:sz w:val="22"/>
          <w:szCs w:val="22"/>
        </w:rPr>
        <w:t>, M.P. T</w:t>
      </w:r>
      <w:r w:rsidR="00EB5B9E">
        <w:rPr>
          <w:rFonts w:cs="Arial"/>
          <w:sz w:val="22"/>
          <w:szCs w:val="22"/>
        </w:rPr>
        <w:t>AYLOR</w:t>
      </w:r>
      <w:r w:rsidR="00FF60AB" w:rsidRPr="00091CAE">
        <w:rPr>
          <w:rFonts w:cs="Arial"/>
          <w:sz w:val="22"/>
          <w:szCs w:val="22"/>
        </w:rPr>
        <w:t xml:space="preserve">, </w:t>
      </w:r>
      <w:r w:rsidR="00FF60AB" w:rsidRPr="00091CAE">
        <w:rPr>
          <w:rFonts w:cs="Arial"/>
          <w:i/>
          <w:sz w:val="22"/>
          <w:szCs w:val="22"/>
        </w:rPr>
        <w:t>Principes de l’économie</w:t>
      </w:r>
      <w:r w:rsidR="00FF60AB" w:rsidRPr="00091CAE">
        <w:rPr>
          <w:rFonts w:cs="Arial"/>
          <w:sz w:val="22"/>
          <w:szCs w:val="22"/>
        </w:rPr>
        <w:t>,  2013.</w:t>
      </w:r>
    </w:p>
    <w:p w:rsidR="008E0E3B" w:rsidRPr="008E0E3B" w:rsidRDefault="008E0E3B" w:rsidP="00A7120C">
      <w:pPr>
        <w:rPr>
          <w:rFonts w:cs="Arial"/>
          <w:b/>
          <w:sz w:val="24"/>
          <w:szCs w:val="24"/>
        </w:rPr>
      </w:pPr>
    </w:p>
    <w:p w:rsidR="00A7120C" w:rsidRDefault="00A7120C" w:rsidP="00A7120C">
      <w:pPr>
        <w:rPr>
          <w:rFonts w:cs="Arial"/>
          <w:b/>
          <w:sz w:val="24"/>
        </w:rPr>
      </w:pPr>
      <w:r w:rsidRPr="001C2FE8">
        <w:rPr>
          <w:rFonts w:cs="Arial"/>
          <w:b/>
          <w:sz w:val="24"/>
        </w:rPr>
        <w:t>DOCUMENT 2</w:t>
      </w:r>
    </w:p>
    <w:p w:rsidR="00FF60AB" w:rsidRDefault="00FF60AB" w:rsidP="00A7120C">
      <w:pPr>
        <w:rPr>
          <w:rFonts w:cs="Arial"/>
          <w:b/>
          <w:sz w:val="24"/>
        </w:rPr>
      </w:pPr>
    </w:p>
    <w:p w:rsidR="00463702" w:rsidRPr="00EB5B9E" w:rsidRDefault="00463702" w:rsidP="00463702">
      <w:pPr>
        <w:rPr>
          <w:b/>
          <w:bCs/>
          <w:sz w:val="24"/>
          <w:szCs w:val="24"/>
        </w:rPr>
      </w:pPr>
      <w:r w:rsidRPr="00EB5B9E">
        <w:rPr>
          <w:b/>
          <w:bCs/>
          <w:sz w:val="24"/>
          <w:szCs w:val="24"/>
        </w:rPr>
        <w:t>Profit de la ferme de Noëlle* quand le prix de marché est de 18 €.</w:t>
      </w:r>
    </w:p>
    <w:p w:rsidR="00EB5B9E" w:rsidRDefault="00EB5B9E" w:rsidP="00463702">
      <w:pPr>
        <w:rPr>
          <w:bCs/>
          <w:sz w:val="24"/>
          <w:szCs w:val="24"/>
        </w:rPr>
      </w:pPr>
    </w:p>
    <w:tbl>
      <w:tblPr>
        <w:tblStyle w:val="Grilledutableau"/>
        <w:tblW w:w="9322" w:type="dxa"/>
        <w:tblLook w:val="04A0"/>
      </w:tblPr>
      <w:tblGrid>
        <w:gridCol w:w="1553"/>
        <w:gridCol w:w="1554"/>
        <w:gridCol w:w="1554"/>
        <w:gridCol w:w="1553"/>
        <w:gridCol w:w="1554"/>
        <w:gridCol w:w="1554"/>
      </w:tblGrid>
      <w:tr w:rsidR="00463702" w:rsidTr="00EB5B9E">
        <w:tc>
          <w:tcPr>
            <w:tcW w:w="1553" w:type="dxa"/>
          </w:tcPr>
          <w:p w:rsidR="00463702" w:rsidRDefault="00463702" w:rsidP="00EB5B9E">
            <w:pPr>
              <w:jc w:val="center"/>
              <w:rPr>
                <w:bCs/>
                <w:sz w:val="24"/>
                <w:szCs w:val="24"/>
              </w:rPr>
            </w:pPr>
            <w:r>
              <w:rPr>
                <w:bCs/>
                <w:sz w:val="24"/>
                <w:szCs w:val="24"/>
              </w:rPr>
              <w:t>Quantité d’arbres</w:t>
            </w:r>
          </w:p>
        </w:tc>
        <w:tc>
          <w:tcPr>
            <w:tcW w:w="1554" w:type="dxa"/>
          </w:tcPr>
          <w:p w:rsidR="00463702" w:rsidRDefault="00463702" w:rsidP="00EB5B9E">
            <w:pPr>
              <w:jc w:val="center"/>
              <w:rPr>
                <w:bCs/>
                <w:sz w:val="24"/>
                <w:szCs w:val="24"/>
              </w:rPr>
            </w:pPr>
            <w:r>
              <w:rPr>
                <w:bCs/>
                <w:sz w:val="24"/>
                <w:szCs w:val="24"/>
              </w:rPr>
              <w:t>Recette totale</w:t>
            </w:r>
          </w:p>
        </w:tc>
        <w:tc>
          <w:tcPr>
            <w:tcW w:w="1554" w:type="dxa"/>
          </w:tcPr>
          <w:p w:rsidR="00463702" w:rsidRDefault="00463702" w:rsidP="00EB5B9E">
            <w:pPr>
              <w:jc w:val="center"/>
              <w:rPr>
                <w:bCs/>
                <w:sz w:val="24"/>
                <w:szCs w:val="24"/>
              </w:rPr>
            </w:pPr>
            <w:r>
              <w:rPr>
                <w:bCs/>
                <w:sz w:val="24"/>
                <w:szCs w:val="24"/>
              </w:rPr>
              <w:t>Recette marginale</w:t>
            </w:r>
          </w:p>
        </w:tc>
        <w:tc>
          <w:tcPr>
            <w:tcW w:w="1553" w:type="dxa"/>
          </w:tcPr>
          <w:p w:rsidR="00463702" w:rsidRDefault="00463702" w:rsidP="00EB5B9E">
            <w:pPr>
              <w:jc w:val="center"/>
              <w:rPr>
                <w:bCs/>
                <w:sz w:val="24"/>
                <w:szCs w:val="24"/>
              </w:rPr>
            </w:pPr>
            <w:r>
              <w:rPr>
                <w:bCs/>
                <w:sz w:val="24"/>
                <w:szCs w:val="24"/>
              </w:rPr>
              <w:t>Coût total</w:t>
            </w:r>
          </w:p>
          <w:p w:rsidR="00463702" w:rsidRDefault="00463702" w:rsidP="00EB5B9E">
            <w:pPr>
              <w:jc w:val="center"/>
              <w:rPr>
                <w:bCs/>
                <w:sz w:val="24"/>
                <w:szCs w:val="24"/>
              </w:rPr>
            </w:pPr>
          </w:p>
        </w:tc>
        <w:tc>
          <w:tcPr>
            <w:tcW w:w="1554" w:type="dxa"/>
          </w:tcPr>
          <w:p w:rsidR="00463702" w:rsidRDefault="00463702" w:rsidP="00EB5B9E">
            <w:pPr>
              <w:jc w:val="center"/>
              <w:rPr>
                <w:bCs/>
                <w:sz w:val="24"/>
                <w:szCs w:val="24"/>
              </w:rPr>
            </w:pPr>
            <w:r>
              <w:rPr>
                <w:bCs/>
                <w:sz w:val="24"/>
                <w:szCs w:val="24"/>
              </w:rPr>
              <w:t>Coût marginal</w:t>
            </w:r>
          </w:p>
        </w:tc>
        <w:tc>
          <w:tcPr>
            <w:tcW w:w="1554" w:type="dxa"/>
          </w:tcPr>
          <w:p w:rsidR="00463702" w:rsidRPr="00AD08E1" w:rsidRDefault="00463702" w:rsidP="00EB5B9E">
            <w:pPr>
              <w:jc w:val="center"/>
              <w:rPr>
                <w:bCs/>
                <w:sz w:val="24"/>
                <w:szCs w:val="24"/>
              </w:rPr>
            </w:pPr>
            <w:r w:rsidRPr="00AD08E1">
              <w:rPr>
                <w:bCs/>
                <w:sz w:val="24"/>
                <w:szCs w:val="24"/>
              </w:rPr>
              <w:t>Profit</w:t>
            </w:r>
          </w:p>
          <w:p w:rsidR="00463702" w:rsidRDefault="00463702" w:rsidP="00EB5B9E">
            <w:pPr>
              <w:jc w:val="center"/>
              <w:rPr>
                <w:bCs/>
                <w:sz w:val="24"/>
                <w:szCs w:val="24"/>
              </w:rPr>
            </w:pPr>
          </w:p>
        </w:tc>
      </w:tr>
      <w:tr w:rsidR="00463702" w:rsidTr="00EB5B9E">
        <w:tc>
          <w:tcPr>
            <w:tcW w:w="1553" w:type="dxa"/>
          </w:tcPr>
          <w:p w:rsidR="00463702" w:rsidRDefault="00463702" w:rsidP="00C804EB">
            <w:pPr>
              <w:rPr>
                <w:bCs/>
                <w:sz w:val="24"/>
                <w:szCs w:val="24"/>
              </w:rPr>
            </w:pPr>
            <w:r>
              <w:rPr>
                <w:bCs/>
                <w:sz w:val="24"/>
                <w:szCs w:val="24"/>
              </w:rPr>
              <w:t>0</w:t>
            </w:r>
          </w:p>
        </w:tc>
        <w:tc>
          <w:tcPr>
            <w:tcW w:w="1554" w:type="dxa"/>
          </w:tcPr>
          <w:p w:rsidR="00463702" w:rsidRDefault="00463702" w:rsidP="00C804EB">
            <w:pPr>
              <w:jc w:val="right"/>
              <w:rPr>
                <w:bCs/>
                <w:sz w:val="24"/>
                <w:szCs w:val="24"/>
              </w:rPr>
            </w:pPr>
            <w:r>
              <w:rPr>
                <w:bCs/>
                <w:sz w:val="24"/>
                <w:szCs w:val="24"/>
              </w:rPr>
              <w:t>0 €</w:t>
            </w:r>
          </w:p>
        </w:tc>
        <w:tc>
          <w:tcPr>
            <w:tcW w:w="1554" w:type="dxa"/>
          </w:tcPr>
          <w:p w:rsidR="00463702" w:rsidRDefault="00463702" w:rsidP="00C804EB">
            <w:pPr>
              <w:jc w:val="center"/>
              <w:rPr>
                <w:bCs/>
                <w:sz w:val="24"/>
                <w:szCs w:val="24"/>
              </w:rPr>
            </w:pPr>
            <w:r>
              <w:rPr>
                <w:bCs/>
                <w:sz w:val="24"/>
                <w:szCs w:val="24"/>
              </w:rPr>
              <w:t>-</w:t>
            </w:r>
          </w:p>
        </w:tc>
        <w:tc>
          <w:tcPr>
            <w:tcW w:w="1553" w:type="dxa"/>
          </w:tcPr>
          <w:p w:rsidR="00463702" w:rsidRDefault="00463702" w:rsidP="00C804EB">
            <w:pPr>
              <w:jc w:val="right"/>
              <w:rPr>
                <w:bCs/>
                <w:sz w:val="24"/>
                <w:szCs w:val="24"/>
              </w:rPr>
            </w:pPr>
            <w:r>
              <w:rPr>
                <w:bCs/>
                <w:sz w:val="24"/>
                <w:szCs w:val="24"/>
              </w:rPr>
              <w:t>14 €</w:t>
            </w:r>
          </w:p>
        </w:tc>
        <w:tc>
          <w:tcPr>
            <w:tcW w:w="1554" w:type="dxa"/>
          </w:tcPr>
          <w:p w:rsidR="00463702" w:rsidRDefault="00463702" w:rsidP="00C804EB">
            <w:pPr>
              <w:jc w:val="center"/>
              <w:rPr>
                <w:bCs/>
                <w:sz w:val="24"/>
                <w:szCs w:val="24"/>
              </w:rPr>
            </w:pPr>
            <w:r>
              <w:rPr>
                <w:bCs/>
                <w:sz w:val="24"/>
                <w:szCs w:val="24"/>
              </w:rPr>
              <w:t>-</w:t>
            </w:r>
          </w:p>
        </w:tc>
        <w:tc>
          <w:tcPr>
            <w:tcW w:w="1554" w:type="dxa"/>
          </w:tcPr>
          <w:p w:rsidR="00463702" w:rsidRDefault="00463702" w:rsidP="00C804EB">
            <w:pPr>
              <w:jc w:val="right"/>
              <w:rPr>
                <w:bCs/>
                <w:sz w:val="24"/>
                <w:szCs w:val="24"/>
              </w:rPr>
            </w:pPr>
            <w:r>
              <w:rPr>
                <w:bCs/>
                <w:sz w:val="24"/>
                <w:szCs w:val="24"/>
              </w:rPr>
              <w:t>- 14 €</w:t>
            </w:r>
          </w:p>
        </w:tc>
      </w:tr>
      <w:tr w:rsidR="00463702" w:rsidTr="00EB5B9E">
        <w:tc>
          <w:tcPr>
            <w:tcW w:w="1553" w:type="dxa"/>
          </w:tcPr>
          <w:p w:rsidR="00463702" w:rsidRDefault="00463702" w:rsidP="00C804EB">
            <w:pPr>
              <w:rPr>
                <w:bCs/>
                <w:sz w:val="24"/>
                <w:szCs w:val="24"/>
              </w:rPr>
            </w:pPr>
            <w:r>
              <w:rPr>
                <w:bCs/>
                <w:sz w:val="24"/>
                <w:szCs w:val="24"/>
              </w:rPr>
              <w:t>1</w:t>
            </w:r>
          </w:p>
        </w:tc>
        <w:tc>
          <w:tcPr>
            <w:tcW w:w="1554" w:type="dxa"/>
          </w:tcPr>
          <w:p w:rsidR="00463702" w:rsidRDefault="00463702" w:rsidP="00C804EB">
            <w:pPr>
              <w:jc w:val="right"/>
              <w:rPr>
                <w:bCs/>
                <w:sz w:val="24"/>
                <w:szCs w:val="24"/>
              </w:rPr>
            </w:pPr>
            <w:r>
              <w:rPr>
                <w:bCs/>
                <w:sz w:val="24"/>
                <w:szCs w:val="24"/>
              </w:rPr>
              <w:t>18 €</w:t>
            </w:r>
          </w:p>
        </w:tc>
        <w:tc>
          <w:tcPr>
            <w:tcW w:w="1554" w:type="dxa"/>
          </w:tcPr>
          <w:p w:rsidR="00463702" w:rsidRDefault="00463702" w:rsidP="00C804EB">
            <w:pPr>
              <w:jc w:val="right"/>
              <w:rPr>
                <w:bCs/>
                <w:sz w:val="24"/>
                <w:szCs w:val="24"/>
              </w:rPr>
            </w:pPr>
            <w:r>
              <w:rPr>
                <w:bCs/>
                <w:sz w:val="24"/>
                <w:szCs w:val="24"/>
              </w:rPr>
              <w:t>18 €</w:t>
            </w:r>
          </w:p>
        </w:tc>
        <w:tc>
          <w:tcPr>
            <w:tcW w:w="1553" w:type="dxa"/>
          </w:tcPr>
          <w:p w:rsidR="00463702" w:rsidRDefault="00463702" w:rsidP="00C804EB">
            <w:pPr>
              <w:jc w:val="right"/>
              <w:rPr>
                <w:bCs/>
                <w:sz w:val="24"/>
                <w:szCs w:val="24"/>
              </w:rPr>
            </w:pPr>
            <w:r>
              <w:rPr>
                <w:bCs/>
                <w:sz w:val="24"/>
                <w:szCs w:val="24"/>
              </w:rPr>
              <w:t>30 €</w:t>
            </w:r>
          </w:p>
        </w:tc>
        <w:tc>
          <w:tcPr>
            <w:tcW w:w="1554" w:type="dxa"/>
          </w:tcPr>
          <w:p w:rsidR="00463702" w:rsidRDefault="00463702" w:rsidP="00C804EB">
            <w:pPr>
              <w:jc w:val="right"/>
              <w:rPr>
                <w:bCs/>
                <w:sz w:val="24"/>
                <w:szCs w:val="24"/>
              </w:rPr>
            </w:pPr>
            <w:r>
              <w:rPr>
                <w:bCs/>
                <w:sz w:val="24"/>
                <w:szCs w:val="24"/>
              </w:rPr>
              <w:t>16 €</w:t>
            </w:r>
          </w:p>
        </w:tc>
        <w:tc>
          <w:tcPr>
            <w:tcW w:w="1554" w:type="dxa"/>
          </w:tcPr>
          <w:p w:rsidR="00463702" w:rsidRDefault="00463702" w:rsidP="00C804EB">
            <w:pPr>
              <w:jc w:val="right"/>
              <w:rPr>
                <w:bCs/>
                <w:sz w:val="24"/>
                <w:szCs w:val="24"/>
              </w:rPr>
            </w:pPr>
            <w:r>
              <w:rPr>
                <w:bCs/>
                <w:sz w:val="24"/>
                <w:szCs w:val="24"/>
              </w:rPr>
              <w:t>- 12 €</w:t>
            </w:r>
          </w:p>
        </w:tc>
      </w:tr>
      <w:tr w:rsidR="00463702" w:rsidTr="00EB5B9E">
        <w:tc>
          <w:tcPr>
            <w:tcW w:w="1553" w:type="dxa"/>
          </w:tcPr>
          <w:p w:rsidR="00463702" w:rsidRDefault="00463702" w:rsidP="00C804EB">
            <w:pPr>
              <w:rPr>
                <w:bCs/>
                <w:sz w:val="24"/>
                <w:szCs w:val="24"/>
              </w:rPr>
            </w:pPr>
            <w:r>
              <w:rPr>
                <w:bCs/>
                <w:sz w:val="24"/>
                <w:szCs w:val="24"/>
              </w:rPr>
              <w:t>2</w:t>
            </w:r>
          </w:p>
        </w:tc>
        <w:tc>
          <w:tcPr>
            <w:tcW w:w="1554" w:type="dxa"/>
          </w:tcPr>
          <w:p w:rsidR="00463702" w:rsidRDefault="00463702" w:rsidP="00C804EB">
            <w:pPr>
              <w:jc w:val="right"/>
              <w:rPr>
                <w:bCs/>
                <w:sz w:val="24"/>
                <w:szCs w:val="24"/>
              </w:rPr>
            </w:pPr>
            <w:r>
              <w:rPr>
                <w:bCs/>
                <w:sz w:val="24"/>
                <w:szCs w:val="24"/>
              </w:rPr>
              <w:t>36 €</w:t>
            </w:r>
          </w:p>
        </w:tc>
        <w:tc>
          <w:tcPr>
            <w:tcW w:w="1554" w:type="dxa"/>
          </w:tcPr>
          <w:p w:rsidR="00463702" w:rsidRDefault="00463702" w:rsidP="00C804EB">
            <w:pPr>
              <w:jc w:val="right"/>
              <w:rPr>
                <w:bCs/>
                <w:sz w:val="24"/>
                <w:szCs w:val="24"/>
              </w:rPr>
            </w:pPr>
            <w:r>
              <w:rPr>
                <w:bCs/>
                <w:sz w:val="24"/>
                <w:szCs w:val="24"/>
              </w:rPr>
              <w:t>18 €</w:t>
            </w:r>
          </w:p>
        </w:tc>
        <w:tc>
          <w:tcPr>
            <w:tcW w:w="1553" w:type="dxa"/>
          </w:tcPr>
          <w:p w:rsidR="00463702" w:rsidRDefault="00463702" w:rsidP="00C804EB">
            <w:pPr>
              <w:jc w:val="right"/>
              <w:rPr>
                <w:bCs/>
                <w:sz w:val="24"/>
                <w:szCs w:val="24"/>
              </w:rPr>
            </w:pPr>
            <w:r>
              <w:rPr>
                <w:bCs/>
                <w:sz w:val="24"/>
                <w:szCs w:val="24"/>
              </w:rPr>
              <w:t>36 €</w:t>
            </w:r>
          </w:p>
        </w:tc>
        <w:tc>
          <w:tcPr>
            <w:tcW w:w="1554" w:type="dxa"/>
          </w:tcPr>
          <w:p w:rsidR="00463702" w:rsidRDefault="00463702" w:rsidP="00C804EB">
            <w:pPr>
              <w:jc w:val="right"/>
              <w:rPr>
                <w:bCs/>
                <w:sz w:val="24"/>
                <w:szCs w:val="24"/>
              </w:rPr>
            </w:pPr>
            <w:r>
              <w:rPr>
                <w:bCs/>
                <w:sz w:val="24"/>
                <w:szCs w:val="24"/>
              </w:rPr>
              <w:t>6 €</w:t>
            </w:r>
          </w:p>
        </w:tc>
        <w:tc>
          <w:tcPr>
            <w:tcW w:w="1554" w:type="dxa"/>
          </w:tcPr>
          <w:p w:rsidR="00463702" w:rsidRDefault="00463702" w:rsidP="00C804EB">
            <w:pPr>
              <w:jc w:val="right"/>
              <w:rPr>
                <w:bCs/>
                <w:sz w:val="24"/>
                <w:szCs w:val="24"/>
              </w:rPr>
            </w:pPr>
            <w:r>
              <w:rPr>
                <w:bCs/>
                <w:sz w:val="24"/>
                <w:szCs w:val="24"/>
              </w:rPr>
              <w:t>- 0 €</w:t>
            </w:r>
          </w:p>
        </w:tc>
      </w:tr>
      <w:tr w:rsidR="00463702" w:rsidTr="00EB5B9E">
        <w:trPr>
          <w:trHeight w:val="115"/>
        </w:trPr>
        <w:tc>
          <w:tcPr>
            <w:tcW w:w="1553" w:type="dxa"/>
          </w:tcPr>
          <w:p w:rsidR="00463702" w:rsidRDefault="00463702" w:rsidP="00C804EB">
            <w:pPr>
              <w:rPr>
                <w:bCs/>
                <w:sz w:val="24"/>
                <w:szCs w:val="24"/>
              </w:rPr>
            </w:pPr>
            <w:r>
              <w:rPr>
                <w:bCs/>
                <w:sz w:val="24"/>
                <w:szCs w:val="24"/>
              </w:rPr>
              <w:t>3</w:t>
            </w:r>
          </w:p>
        </w:tc>
        <w:tc>
          <w:tcPr>
            <w:tcW w:w="1554" w:type="dxa"/>
          </w:tcPr>
          <w:p w:rsidR="00463702" w:rsidRDefault="00463702" w:rsidP="00C804EB">
            <w:pPr>
              <w:jc w:val="right"/>
              <w:rPr>
                <w:bCs/>
                <w:sz w:val="24"/>
                <w:szCs w:val="24"/>
              </w:rPr>
            </w:pPr>
            <w:r>
              <w:rPr>
                <w:bCs/>
                <w:sz w:val="24"/>
                <w:szCs w:val="24"/>
              </w:rPr>
              <w:t>54 €</w:t>
            </w:r>
          </w:p>
        </w:tc>
        <w:tc>
          <w:tcPr>
            <w:tcW w:w="1554" w:type="dxa"/>
          </w:tcPr>
          <w:p w:rsidR="00463702" w:rsidRDefault="00463702" w:rsidP="00C804EB">
            <w:pPr>
              <w:jc w:val="right"/>
              <w:rPr>
                <w:bCs/>
                <w:sz w:val="24"/>
                <w:szCs w:val="24"/>
              </w:rPr>
            </w:pPr>
            <w:r>
              <w:rPr>
                <w:bCs/>
                <w:sz w:val="24"/>
                <w:szCs w:val="24"/>
              </w:rPr>
              <w:t>18 €</w:t>
            </w:r>
          </w:p>
        </w:tc>
        <w:tc>
          <w:tcPr>
            <w:tcW w:w="1553" w:type="dxa"/>
          </w:tcPr>
          <w:p w:rsidR="00463702" w:rsidRDefault="00463702" w:rsidP="00C804EB">
            <w:pPr>
              <w:jc w:val="right"/>
              <w:rPr>
                <w:bCs/>
                <w:sz w:val="24"/>
                <w:szCs w:val="24"/>
              </w:rPr>
            </w:pPr>
            <w:r>
              <w:rPr>
                <w:bCs/>
                <w:sz w:val="24"/>
                <w:szCs w:val="24"/>
              </w:rPr>
              <w:t>44 €</w:t>
            </w:r>
          </w:p>
        </w:tc>
        <w:tc>
          <w:tcPr>
            <w:tcW w:w="1554" w:type="dxa"/>
          </w:tcPr>
          <w:p w:rsidR="00463702" w:rsidRDefault="00463702" w:rsidP="00C804EB">
            <w:pPr>
              <w:jc w:val="right"/>
              <w:rPr>
                <w:bCs/>
                <w:sz w:val="24"/>
                <w:szCs w:val="24"/>
              </w:rPr>
            </w:pPr>
            <w:r>
              <w:rPr>
                <w:bCs/>
                <w:sz w:val="24"/>
                <w:szCs w:val="24"/>
              </w:rPr>
              <w:t>8 €</w:t>
            </w:r>
          </w:p>
        </w:tc>
        <w:tc>
          <w:tcPr>
            <w:tcW w:w="1554" w:type="dxa"/>
          </w:tcPr>
          <w:p w:rsidR="00463702" w:rsidRDefault="00463702" w:rsidP="00C804EB">
            <w:pPr>
              <w:jc w:val="right"/>
              <w:rPr>
                <w:bCs/>
                <w:sz w:val="24"/>
                <w:szCs w:val="24"/>
              </w:rPr>
            </w:pPr>
            <w:r>
              <w:rPr>
                <w:bCs/>
                <w:sz w:val="24"/>
                <w:szCs w:val="24"/>
              </w:rPr>
              <w:t>10 €</w:t>
            </w:r>
          </w:p>
        </w:tc>
      </w:tr>
      <w:tr w:rsidR="00463702" w:rsidTr="00EB5B9E">
        <w:tc>
          <w:tcPr>
            <w:tcW w:w="1553" w:type="dxa"/>
          </w:tcPr>
          <w:p w:rsidR="00463702" w:rsidRDefault="00463702" w:rsidP="00C804EB">
            <w:pPr>
              <w:rPr>
                <w:bCs/>
                <w:sz w:val="24"/>
                <w:szCs w:val="24"/>
              </w:rPr>
            </w:pPr>
            <w:r>
              <w:rPr>
                <w:bCs/>
                <w:sz w:val="24"/>
                <w:szCs w:val="24"/>
              </w:rPr>
              <w:t>4</w:t>
            </w:r>
          </w:p>
        </w:tc>
        <w:tc>
          <w:tcPr>
            <w:tcW w:w="1554" w:type="dxa"/>
          </w:tcPr>
          <w:p w:rsidR="00463702" w:rsidRDefault="00463702" w:rsidP="00C804EB">
            <w:pPr>
              <w:jc w:val="right"/>
              <w:rPr>
                <w:bCs/>
                <w:sz w:val="24"/>
                <w:szCs w:val="24"/>
              </w:rPr>
            </w:pPr>
            <w:r>
              <w:rPr>
                <w:bCs/>
                <w:sz w:val="24"/>
                <w:szCs w:val="24"/>
              </w:rPr>
              <w:t>72 €</w:t>
            </w:r>
          </w:p>
        </w:tc>
        <w:tc>
          <w:tcPr>
            <w:tcW w:w="1554" w:type="dxa"/>
          </w:tcPr>
          <w:p w:rsidR="00463702" w:rsidRDefault="00463702" w:rsidP="00C804EB">
            <w:pPr>
              <w:jc w:val="right"/>
              <w:rPr>
                <w:bCs/>
                <w:sz w:val="24"/>
                <w:szCs w:val="24"/>
              </w:rPr>
            </w:pPr>
            <w:r>
              <w:rPr>
                <w:bCs/>
                <w:sz w:val="24"/>
                <w:szCs w:val="24"/>
              </w:rPr>
              <w:t>18 €</w:t>
            </w:r>
          </w:p>
        </w:tc>
        <w:tc>
          <w:tcPr>
            <w:tcW w:w="1553" w:type="dxa"/>
          </w:tcPr>
          <w:p w:rsidR="00463702" w:rsidRDefault="00463702" w:rsidP="00C804EB">
            <w:pPr>
              <w:jc w:val="right"/>
              <w:rPr>
                <w:bCs/>
                <w:sz w:val="24"/>
                <w:szCs w:val="24"/>
              </w:rPr>
            </w:pPr>
            <w:r>
              <w:rPr>
                <w:bCs/>
                <w:sz w:val="24"/>
                <w:szCs w:val="24"/>
              </w:rPr>
              <w:t>56 €</w:t>
            </w:r>
          </w:p>
        </w:tc>
        <w:tc>
          <w:tcPr>
            <w:tcW w:w="1554" w:type="dxa"/>
          </w:tcPr>
          <w:p w:rsidR="00463702" w:rsidRDefault="00463702" w:rsidP="00C804EB">
            <w:pPr>
              <w:jc w:val="right"/>
              <w:rPr>
                <w:bCs/>
                <w:sz w:val="24"/>
                <w:szCs w:val="24"/>
              </w:rPr>
            </w:pPr>
            <w:r>
              <w:rPr>
                <w:bCs/>
                <w:sz w:val="24"/>
                <w:szCs w:val="24"/>
              </w:rPr>
              <w:t>12 €</w:t>
            </w:r>
          </w:p>
        </w:tc>
        <w:tc>
          <w:tcPr>
            <w:tcW w:w="1554" w:type="dxa"/>
          </w:tcPr>
          <w:p w:rsidR="00463702" w:rsidRDefault="00463702" w:rsidP="00C804EB">
            <w:pPr>
              <w:jc w:val="right"/>
              <w:rPr>
                <w:bCs/>
                <w:sz w:val="24"/>
                <w:szCs w:val="24"/>
              </w:rPr>
            </w:pPr>
            <w:r>
              <w:rPr>
                <w:bCs/>
                <w:sz w:val="24"/>
                <w:szCs w:val="24"/>
              </w:rPr>
              <w:t>16 €</w:t>
            </w:r>
          </w:p>
        </w:tc>
      </w:tr>
      <w:tr w:rsidR="00463702" w:rsidTr="00EB5B9E">
        <w:tc>
          <w:tcPr>
            <w:tcW w:w="1553" w:type="dxa"/>
          </w:tcPr>
          <w:p w:rsidR="00463702" w:rsidRDefault="00463702" w:rsidP="00C804EB">
            <w:pPr>
              <w:rPr>
                <w:bCs/>
                <w:sz w:val="24"/>
                <w:szCs w:val="24"/>
              </w:rPr>
            </w:pPr>
            <w:r>
              <w:rPr>
                <w:bCs/>
                <w:sz w:val="24"/>
                <w:szCs w:val="24"/>
              </w:rPr>
              <w:t>5</w:t>
            </w:r>
          </w:p>
        </w:tc>
        <w:tc>
          <w:tcPr>
            <w:tcW w:w="1554" w:type="dxa"/>
          </w:tcPr>
          <w:p w:rsidR="00463702" w:rsidRDefault="00463702" w:rsidP="00C804EB">
            <w:pPr>
              <w:jc w:val="right"/>
              <w:rPr>
                <w:bCs/>
                <w:sz w:val="24"/>
                <w:szCs w:val="24"/>
              </w:rPr>
            </w:pPr>
            <w:r>
              <w:rPr>
                <w:bCs/>
                <w:sz w:val="24"/>
                <w:szCs w:val="24"/>
              </w:rPr>
              <w:t>90 €</w:t>
            </w:r>
          </w:p>
        </w:tc>
        <w:tc>
          <w:tcPr>
            <w:tcW w:w="1554" w:type="dxa"/>
          </w:tcPr>
          <w:p w:rsidR="00463702" w:rsidRDefault="00463702" w:rsidP="00C804EB">
            <w:pPr>
              <w:jc w:val="right"/>
              <w:rPr>
                <w:bCs/>
                <w:sz w:val="24"/>
                <w:szCs w:val="24"/>
              </w:rPr>
            </w:pPr>
            <w:r>
              <w:rPr>
                <w:bCs/>
                <w:sz w:val="24"/>
                <w:szCs w:val="24"/>
              </w:rPr>
              <w:t>18 €</w:t>
            </w:r>
          </w:p>
        </w:tc>
        <w:tc>
          <w:tcPr>
            <w:tcW w:w="1553" w:type="dxa"/>
          </w:tcPr>
          <w:p w:rsidR="00463702" w:rsidRDefault="00463702" w:rsidP="00C804EB">
            <w:pPr>
              <w:jc w:val="right"/>
              <w:rPr>
                <w:bCs/>
                <w:sz w:val="24"/>
                <w:szCs w:val="24"/>
              </w:rPr>
            </w:pPr>
            <w:r>
              <w:rPr>
                <w:bCs/>
                <w:sz w:val="24"/>
                <w:szCs w:val="24"/>
              </w:rPr>
              <w:t>72 €</w:t>
            </w:r>
          </w:p>
        </w:tc>
        <w:tc>
          <w:tcPr>
            <w:tcW w:w="1554" w:type="dxa"/>
          </w:tcPr>
          <w:p w:rsidR="00463702" w:rsidRDefault="00463702" w:rsidP="00C804EB">
            <w:pPr>
              <w:jc w:val="right"/>
              <w:rPr>
                <w:bCs/>
                <w:sz w:val="24"/>
                <w:szCs w:val="24"/>
              </w:rPr>
            </w:pPr>
            <w:r>
              <w:rPr>
                <w:bCs/>
                <w:sz w:val="24"/>
                <w:szCs w:val="24"/>
              </w:rPr>
              <w:t>16 €</w:t>
            </w:r>
          </w:p>
        </w:tc>
        <w:tc>
          <w:tcPr>
            <w:tcW w:w="1554" w:type="dxa"/>
          </w:tcPr>
          <w:p w:rsidR="00463702" w:rsidRDefault="00463702" w:rsidP="00C804EB">
            <w:pPr>
              <w:jc w:val="right"/>
              <w:rPr>
                <w:bCs/>
                <w:sz w:val="24"/>
                <w:szCs w:val="24"/>
              </w:rPr>
            </w:pPr>
            <w:r>
              <w:rPr>
                <w:bCs/>
                <w:sz w:val="24"/>
                <w:szCs w:val="24"/>
              </w:rPr>
              <w:t>18 €</w:t>
            </w:r>
          </w:p>
        </w:tc>
      </w:tr>
      <w:tr w:rsidR="00463702" w:rsidTr="00EB5B9E">
        <w:tc>
          <w:tcPr>
            <w:tcW w:w="1553" w:type="dxa"/>
          </w:tcPr>
          <w:p w:rsidR="00463702" w:rsidRDefault="00463702" w:rsidP="00C804EB">
            <w:pPr>
              <w:rPr>
                <w:bCs/>
                <w:sz w:val="24"/>
                <w:szCs w:val="24"/>
              </w:rPr>
            </w:pPr>
            <w:r>
              <w:rPr>
                <w:bCs/>
                <w:sz w:val="24"/>
                <w:szCs w:val="24"/>
              </w:rPr>
              <w:t>6</w:t>
            </w:r>
          </w:p>
        </w:tc>
        <w:tc>
          <w:tcPr>
            <w:tcW w:w="1554" w:type="dxa"/>
          </w:tcPr>
          <w:p w:rsidR="00463702" w:rsidRDefault="00463702" w:rsidP="00C804EB">
            <w:pPr>
              <w:jc w:val="right"/>
              <w:rPr>
                <w:bCs/>
                <w:sz w:val="24"/>
                <w:szCs w:val="24"/>
              </w:rPr>
            </w:pPr>
            <w:r>
              <w:rPr>
                <w:bCs/>
                <w:sz w:val="24"/>
                <w:szCs w:val="24"/>
              </w:rPr>
              <w:t>108 €</w:t>
            </w:r>
          </w:p>
        </w:tc>
        <w:tc>
          <w:tcPr>
            <w:tcW w:w="1554" w:type="dxa"/>
          </w:tcPr>
          <w:p w:rsidR="00463702" w:rsidRDefault="00463702" w:rsidP="00C804EB">
            <w:pPr>
              <w:jc w:val="right"/>
              <w:rPr>
                <w:bCs/>
                <w:sz w:val="24"/>
                <w:szCs w:val="24"/>
              </w:rPr>
            </w:pPr>
            <w:r>
              <w:rPr>
                <w:bCs/>
                <w:sz w:val="24"/>
                <w:szCs w:val="24"/>
              </w:rPr>
              <w:t>18 €</w:t>
            </w:r>
          </w:p>
        </w:tc>
        <w:tc>
          <w:tcPr>
            <w:tcW w:w="1553" w:type="dxa"/>
          </w:tcPr>
          <w:p w:rsidR="00463702" w:rsidRDefault="00463702" w:rsidP="00C804EB">
            <w:pPr>
              <w:jc w:val="right"/>
              <w:rPr>
                <w:bCs/>
                <w:sz w:val="24"/>
                <w:szCs w:val="24"/>
              </w:rPr>
            </w:pPr>
            <w:r>
              <w:rPr>
                <w:bCs/>
                <w:sz w:val="24"/>
                <w:szCs w:val="24"/>
              </w:rPr>
              <w:t>92 €</w:t>
            </w:r>
          </w:p>
        </w:tc>
        <w:tc>
          <w:tcPr>
            <w:tcW w:w="1554" w:type="dxa"/>
          </w:tcPr>
          <w:p w:rsidR="00463702" w:rsidRDefault="00463702" w:rsidP="00C804EB">
            <w:pPr>
              <w:jc w:val="right"/>
              <w:rPr>
                <w:bCs/>
                <w:sz w:val="24"/>
                <w:szCs w:val="24"/>
              </w:rPr>
            </w:pPr>
            <w:r>
              <w:rPr>
                <w:bCs/>
                <w:sz w:val="24"/>
                <w:szCs w:val="24"/>
              </w:rPr>
              <w:t>20 €</w:t>
            </w:r>
          </w:p>
        </w:tc>
        <w:tc>
          <w:tcPr>
            <w:tcW w:w="1554" w:type="dxa"/>
          </w:tcPr>
          <w:p w:rsidR="00463702" w:rsidRDefault="00463702" w:rsidP="00C804EB">
            <w:pPr>
              <w:jc w:val="right"/>
              <w:rPr>
                <w:bCs/>
                <w:sz w:val="24"/>
                <w:szCs w:val="24"/>
              </w:rPr>
            </w:pPr>
            <w:r>
              <w:rPr>
                <w:bCs/>
                <w:sz w:val="24"/>
                <w:szCs w:val="24"/>
              </w:rPr>
              <w:t>16 €</w:t>
            </w:r>
          </w:p>
        </w:tc>
      </w:tr>
      <w:tr w:rsidR="00463702" w:rsidTr="00EB5B9E">
        <w:tc>
          <w:tcPr>
            <w:tcW w:w="1553" w:type="dxa"/>
          </w:tcPr>
          <w:p w:rsidR="00463702" w:rsidRDefault="00463702" w:rsidP="00C804EB">
            <w:pPr>
              <w:rPr>
                <w:bCs/>
                <w:sz w:val="24"/>
                <w:szCs w:val="24"/>
              </w:rPr>
            </w:pPr>
            <w:r>
              <w:rPr>
                <w:bCs/>
                <w:sz w:val="24"/>
                <w:szCs w:val="24"/>
              </w:rPr>
              <w:t>7</w:t>
            </w:r>
          </w:p>
        </w:tc>
        <w:tc>
          <w:tcPr>
            <w:tcW w:w="1554" w:type="dxa"/>
          </w:tcPr>
          <w:p w:rsidR="00463702" w:rsidRDefault="00463702" w:rsidP="00C804EB">
            <w:pPr>
              <w:jc w:val="right"/>
              <w:rPr>
                <w:bCs/>
                <w:sz w:val="24"/>
                <w:szCs w:val="24"/>
              </w:rPr>
            </w:pPr>
            <w:r>
              <w:rPr>
                <w:bCs/>
                <w:sz w:val="24"/>
                <w:szCs w:val="24"/>
              </w:rPr>
              <w:t>126 €</w:t>
            </w:r>
          </w:p>
        </w:tc>
        <w:tc>
          <w:tcPr>
            <w:tcW w:w="1554" w:type="dxa"/>
          </w:tcPr>
          <w:p w:rsidR="00463702" w:rsidRDefault="00463702" w:rsidP="00C804EB">
            <w:pPr>
              <w:jc w:val="right"/>
              <w:rPr>
                <w:bCs/>
                <w:sz w:val="24"/>
                <w:szCs w:val="24"/>
              </w:rPr>
            </w:pPr>
            <w:r>
              <w:rPr>
                <w:bCs/>
                <w:sz w:val="24"/>
                <w:szCs w:val="24"/>
              </w:rPr>
              <w:t>18 €</w:t>
            </w:r>
          </w:p>
        </w:tc>
        <w:tc>
          <w:tcPr>
            <w:tcW w:w="1553" w:type="dxa"/>
          </w:tcPr>
          <w:p w:rsidR="00463702" w:rsidRDefault="00463702" w:rsidP="00C804EB">
            <w:pPr>
              <w:jc w:val="right"/>
              <w:rPr>
                <w:bCs/>
                <w:sz w:val="24"/>
                <w:szCs w:val="24"/>
              </w:rPr>
            </w:pPr>
            <w:r>
              <w:rPr>
                <w:bCs/>
                <w:sz w:val="24"/>
                <w:szCs w:val="24"/>
              </w:rPr>
              <w:t>116 €</w:t>
            </w:r>
          </w:p>
        </w:tc>
        <w:tc>
          <w:tcPr>
            <w:tcW w:w="1554" w:type="dxa"/>
          </w:tcPr>
          <w:p w:rsidR="00463702" w:rsidRDefault="00463702" w:rsidP="00C804EB">
            <w:pPr>
              <w:jc w:val="right"/>
              <w:rPr>
                <w:bCs/>
                <w:sz w:val="24"/>
                <w:szCs w:val="24"/>
              </w:rPr>
            </w:pPr>
            <w:r>
              <w:rPr>
                <w:bCs/>
                <w:sz w:val="24"/>
                <w:szCs w:val="24"/>
              </w:rPr>
              <w:t>24 €</w:t>
            </w:r>
          </w:p>
        </w:tc>
        <w:tc>
          <w:tcPr>
            <w:tcW w:w="1554" w:type="dxa"/>
          </w:tcPr>
          <w:p w:rsidR="00463702" w:rsidRDefault="00463702" w:rsidP="00C804EB">
            <w:pPr>
              <w:jc w:val="right"/>
              <w:rPr>
                <w:bCs/>
                <w:sz w:val="24"/>
                <w:szCs w:val="24"/>
              </w:rPr>
            </w:pPr>
            <w:r>
              <w:rPr>
                <w:bCs/>
                <w:sz w:val="24"/>
                <w:szCs w:val="24"/>
              </w:rPr>
              <w:t>10 €</w:t>
            </w:r>
          </w:p>
        </w:tc>
      </w:tr>
    </w:tbl>
    <w:p w:rsidR="00463702" w:rsidRDefault="00463702" w:rsidP="00463702">
      <w:pPr>
        <w:rPr>
          <w:bCs/>
          <w:sz w:val="24"/>
          <w:szCs w:val="24"/>
        </w:rPr>
      </w:pPr>
    </w:p>
    <w:p w:rsidR="00463702" w:rsidRDefault="00463702" w:rsidP="00463702">
      <w:pPr>
        <w:rPr>
          <w:bCs/>
          <w:sz w:val="22"/>
          <w:szCs w:val="22"/>
        </w:rPr>
      </w:pPr>
      <w:r w:rsidRPr="00091CAE">
        <w:rPr>
          <w:bCs/>
          <w:sz w:val="22"/>
          <w:szCs w:val="22"/>
        </w:rPr>
        <w:t>* Noëlle gère une ferme d’arbres de Noël. Supposez qu</w:t>
      </w:r>
      <w:r w:rsidR="00BC5B9B" w:rsidRPr="00091CAE">
        <w:rPr>
          <w:bCs/>
          <w:sz w:val="22"/>
          <w:szCs w:val="22"/>
        </w:rPr>
        <w:t>e le prix de marché soit de 18 euros</w:t>
      </w:r>
      <w:r w:rsidRPr="00091CAE">
        <w:rPr>
          <w:bCs/>
          <w:sz w:val="22"/>
          <w:szCs w:val="22"/>
        </w:rPr>
        <w:t xml:space="preserve"> par arbre et que Noëlle prenne le prix comme une donnée, elle peut vendre autant qu’elle le souhaite à ce prix. </w:t>
      </w:r>
    </w:p>
    <w:p w:rsidR="00EB5B9E" w:rsidRPr="00091CAE" w:rsidRDefault="00EB5B9E" w:rsidP="00463702">
      <w:pPr>
        <w:rPr>
          <w:bCs/>
          <w:sz w:val="22"/>
          <w:szCs w:val="22"/>
        </w:rPr>
      </w:pPr>
    </w:p>
    <w:p w:rsidR="009B6FE6" w:rsidRPr="00557307" w:rsidRDefault="00463702" w:rsidP="00EB5B9E">
      <w:pPr>
        <w:jc w:val="right"/>
        <w:rPr>
          <w:bCs/>
          <w:sz w:val="24"/>
          <w:szCs w:val="24"/>
        </w:rPr>
      </w:pPr>
      <w:r w:rsidRPr="00091CAE">
        <w:rPr>
          <w:bCs/>
          <w:sz w:val="22"/>
          <w:szCs w:val="22"/>
        </w:rPr>
        <w:t>Source : d’après Paul KRUGMAN, Microéconomie, 2016</w:t>
      </w:r>
      <w:r w:rsidR="009B6FE6" w:rsidRPr="00AA1DE6">
        <w:rPr>
          <w:rFonts w:cs="Arial"/>
          <w:sz w:val="24"/>
          <w:szCs w:val="24"/>
        </w:rPr>
        <w:br w:type="page"/>
      </w:r>
    </w:p>
    <w:p w:rsidR="00557307" w:rsidRDefault="00557307" w:rsidP="00557307">
      <w:pPr>
        <w:rPr>
          <w:rFonts w:cs="Arial"/>
          <w:b/>
          <w:sz w:val="24"/>
          <w:szCs w:val="24"/>
        </w:rPr>
      </w:pPr>
      <w:r w:rsidRPr="002263ED">
        <w:rPr>
          <w:rFonts w:cs="Arial"/>
          <w:b/>
          <w:sz w:val="24"/>
          <w:szCs w:val="24"/>
        </w:rPr>
        <w:lastRenderedPageBreak/>
        <w:t>DOCUMENT 3</w:t>
      </w:r>
    </w:p>
    <w:p w:rsidR="00557307" w:rsidRDefault="00557307" w:rsidP="00557307">
      <w:pPr>
        <w:rPr>
          <w:rFonts w:cs="Arial"/>
          <w:b/>
          <w:sz w:val="24"/>
          <w:szCs w:val="24"/>
        </w:rPr>
      </w:pPr>
    </w:p>
    <w:p w:rsidR="00557307" w:rsidRPr="00BC5B9B" w:rsidRDefault="00557307" w:rsidP="00557307">
      <w:pPr>
        <w:pStyle w:val="NormalWeb"/>
        <w:spacing w:before="0" w:beforeAutospacing="0" w:after="0" w:afterAutospacing="0"/>
        <w:jc w:val="both"/>
        <w:rPr>
          <w:rFonts w:ascii="Arial" w:hAnsi="Arial" w:cs="Arial"/>
        </w:rPr>
      </w:pPr>
      <w:r w:rsidRPr="00557307">
        <w:rPr>
          <w:rFonts w:ascii="Arial" w:hAnsi="Arial" w:cs="Arial"/>
          <w:color w:val="202328"/>
        </w:rPr>
        <w:t xml:space="preserve">Le marché de gros de l’électricité permet d’organiser les échanges d’électricité entre les producteurs, des intermédiaires (courtiers, traders) et les fournisseurs […]. En France, chaque producteur peut librement décider de produire ou non, en fonction de l’écart entre le coût marginal de production des installations et le prix de marché de l’électricité, qui varie en temps réel en fonction du niveau de la demande et des moyens de production appelés. Les moyens de production se mettent donc généralement à produire </w:t>
      </w:r>
      <w:r w:rsidRPr="00BC5B9B">
        <w:rPr>
          <w:rFonts w:ascii="Arial" w:hAnsi="Arial" w:cs="Arial"/>
        </w:rPr>
        <w:t xml:space="preserve">suivant leur ordre de préséance économique […], c’est-à-dire par coût marginal croissant des installations jusqu’à satisfaire la demande, optimisant ainsi l’utilisation du parc électrique au bénéfice des consommateurs </w:t>
      </w:r>
    </w:p>
    <w:p w:rsidR="00557307" w:rsidRPr="00BC5B9B" w:rsidRDefault="00557307" w:rsidP="00557307">
      <w:pPr>
        <w:pStyle w:val="NormalWeb"/>
        <w:spacing w:before="0" w:beforeAutospacing="0" w:after="0" w:afterAutospacing="0"/>
        <w:jc w:val="both"/>
        <w:rPr>
          <w:rFonts w:ascii="Arial" w:hAnsi="Arial" w:cs="Arial"/>
        </w:rPr>
      </w:pPr>
      <w:r w:rsidRPr="00BC5B9B">
        <w:rPr>
          <w:rFonts w:ascii="Arial" w:hAnsi="Arial" w:cs="Arial"/>
        </w:rPr>
        <w:t>[…]</w:t>
      </w:r>
    </w:p>
    <w:p w:rsidR="00557307" w:rsidRPr="00BC5B9B" w:rsidRDefault="00557307" w:rsidP="00557307">
      <w:pPr>
        <w:jc w:val="both"/>
        <w:rPr>
          <w:rFonts w:eastAsia="Times New Roman" w:cs="Arial"/>
          <w:sz w:val="24"/>
          <w:szCs w:val="24"/>
        </w:rPr>
      </w:pPr>
      <w:r w:rsidRPr="00BC5B9B">
        <w:rPr>
          <w:rFonts w:eastAsia="Times New Roman" w:cs="Arial"/>
          <w:sz w:val="24"/>
          <w:szCs w:val="24"/>
        </w:rPr>
        <w:t xml:space="preserve">Les énergies renouvelables </w:t>
      </w:r>
      <w:r w:rsidR="00BC5B9B" w:rsidRPr="00BC5B9B">
        <w:rPr>
          <w:rFonts w:eastAsia="Times New Roman" w:cs="Arial"/>
          <w:sz w:val="24"/>
          <w:szCs w:val="24"/>
        </w:rPr>
        <w:t xml:space="preserve">[…] </w:t>
      </w:r>
      <w:r w:rsidRPr="00BC5B9B">
        <w:rPr>
          <w:rFonts w:eastAsia="Times New Roman" w:cs="Arial"/>
          <w:sz w:val="24"/>
          <w:szCs w:val="24"/>
        </w:rPr>
        <w:t>(solaire, éolien, hydraulique au fil de l’eau) présentent des coûts marginaux quasi-nuls : elles ont donc intérêt à fonctionner […] dès lors que les prix de marché de l’électricité sont positifs.</w:t>
      </w:r>
    </w:p>
    <w:p w:rsidR="00557307" w:rsidRPr="00BC5B9B" w:rsidRDefault="00557307" w:rsidP="00557307">
      <w:pPr>
        <w:jc w:val="both"/>
        <w:rPr>
          <w:rFonts w:eastAsia="Times New Roman" w:cs="Arial"/>
          <w:sz w:val="24"/>
          <w:szCs w:val="24"/>
        </w:rPr>
      </w:pPr>
      <w:r w:rsidRPr="00BC5B9B">
        <w:rPr>
          <w:rFonts w:eastAsia="Times New Roman" w:cs="Arial"/>
          <w:sz w:val="24"/>
          <w:szCs w:val="24"/>
        </w:rPr>
        <w:t>La filière nucléaire, caractérisée par un coût marginal de production très faible, est également compétitive […]. Les centrales thermiques à flamme, qui présentent un coût marginal plus important du fait du coût de leur combustible, ont pour rôle principal dans le mix électrique</w:t>
      </w:r>
      <w:r w:rsidR="00BC5B9B">
        <w:rPr>
          <w:rFonts w:eastAsia="Times New Roman" w:cs="Arial"/>
          <w:sz w:val="24"/>
          <w:szCs w:val="24"/>
        </w:rPr>
        <w:t>*</w:t>
      </w:r>
      <w:r w:rsidRPr="00BC5B9B">
        <w:rPr>
          <w:rFonts w:eastAsia="Times New Roman" w:cs="Arial"/>
          <w:sz w:val="24"/>
          <w:szCs w:val="24"/>
        </w:rPr>
        <w:t xml:space="preserve"> français d’assurer la sécurité d’approvisionnement en ajustant la production à la demande, par un fonctionnement […] complémentaire du nucléaire et des énergies renouvelables […]. </w:t>
      </w:r>
    </w:p>
    <w:p w:rsidR="00557307" w:rsidRPr="00091CAE" w:rsidRDefault="00557307" w:rsidP="00557307">
      <w:pPr>
        <w:rPr>
          <w:rFonts w:ascii="Roboto" w:eastAsia="Times New Roman" w:hAnsi="Roboto" w:cs="Arial"/>
          <w:sz w:val="22"/>
          <w:szCs w:val="22"/>
        </w:rPr>
      </w:pPr>
    </w:p>
    <w:p w:rsidR="00BC5B9B" w:rsidRPr="00091CAE" w:rsidRDefault="00557307" w:rsidP="00EB5B9E">
      <w:pPr>
        <w:jc w:val="right"/>
        <w:rPr>
          <w:sz w:val="22"/>
          <w:szCs w:val="22"/>
        </w:rPr>
      </w:pPr>
      <w:r w:rsidRPr="00091CAE">
        <w:rPr>
          <w:rFonts w:eastAsia="Times New Roman" w:cs="Arial"/>
          <w:sz w:val="22"/>
          <w:szCs w:val="22"/>
        </w:rPr>
        <w:t xml:space="preserve">Source : </w:t>
      </w:r>
      <w:hyperlink r:id="rId6" w:history="1">
        <w:r w:rsidRPr="00091CAE">
          <w:rPr>
            <w:rStyle w:val="Lienhypertexte"/>
            <w:rFonts w:eastAsia="Times New Roman" w:cs="Arial"/>
            <w:color w:val="auto"/>
            <w:sz w:val="22"/>
            <w:szCs w:val="22"/>
            <w:u w:val="none"/>
          </w:rPr>
          <w:t>www.ecologique-solidaire.gouv.fr</w:t>
        </w:r>
      </w:hyperlink>
      <w:bookmarkStart w:id="0" w:name="_GoBack"/>
      <w:bookmarkEnd w:id="0"/>
    </w:p>
    <w:p w:rsidR="00BC5B9B" w:rsidRPr="00091CAE" w:rsidRDefault="00BC5B9B" w:rsidP="00557307">
      <w:pPr>
        <w:rPr>
          <w:sz w:val="22"/>
          <w:szCs w:val="22"/>
        </w:rPr>
      </w:pPr>
    </w:p>
    <w:p w:rsidR="00A7120C" w:rsidRPr="00091CAE" w:rsidRDefault="00BC5B9B" w:rsidP="00A7120C">
      <w:pPr>
        <w:rPr>
          <w:rFonts w:cs="Arial"/>
          <w:b/>
          <w:sz w:val="22"/>
          <w:szCs w:val="22"/>
        </w:rPr>
      </w:pPr>
      <w:r w:rsidRPr="00091CAE">
        <w:rPr>
          <w:sz w:val="22"/>
          <w:szCs w:val="22"/>
        </w:rPr>
        <w:t>*</w:t>
      </w:r>
      <w:r w:rsidR="00091CAE" w:rsidRPr="00091CAE">
        <w:rPr>
          <w:sz w:val="22"/>
          <w:szCs w:val="22"/>
        </w:rPr>
        <w:t xml:space="preserve"> Le </w:t>
      </w:r>
      <w:r w:rsidRPr="00091CAE">
        <w:rPr>
          <w:sz w:val="22"/>
          <w:szCs w:val="22"/>
        </w:rPr>
        <w:t>mix électrique </w:t>
      </w:r>
      <w:r w:rsidR="00091CAE" w:rsidRPr="00091CAE">
        <w:rPr>
          <w:sz w:val="22"/>
          <w:szCs w:val="22"/>
        </w:rPr>
        <w:t>désigne la répartition des différentes sources d'énergie primaire (nucléaire, charbon, pétrole, éolien, etc.) utilisées pour produire l'électricité.</w:t>
      </w:r>
    </w:p>
    <w:sectPr w:rsidR="00A7120C" w:rsidRPr="00091CAE" w:rsidSect="0082082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66BE"/>
    <w:multiLevelType w:val="hybridMultilevel"/>
    <w:tmpl w:val="46EC2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3D7B99"/>
    <w:multiLevelType w:val="hybridMultilevel"/>
    <w:tmpl w:val="82987108"/>
    <w:lvl w:ilvl="0" w:tplc="F1F4C27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3327736"/>
    <w:multiLevelType w:val="hybridMultilevel"/>
    <w:tmpl w:val="46EC2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605B90"/>
    <w:multiLevelType w:val="multilevel"/>
    <w:tmpl w:val="CCF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7120C"/>
    <w:rsid w:val="00002F9D"/>
    <w:rsid w:val="0008748A"/>
    <w:rsid w:val="00091CAE"/>
    <w:rsid w:val="000A3D41"/>
    <w:rsid w:val="00111140"/>
    <w:rsid w:val="001C2A85"/>
    <w:rsid w:val="001E4E88"/>
    <w:rsid w:val="00212394"/>
    <w:rsid w:val="002C5F42"/>
    <w:rsid w:val="0045485D"/>
    <w:rsid w:val="00463702"/>
    <w:rsid w:val="004672AF"/>
    <w:rsid w:val="00490225"/>
    <w:rsid w:val="004D5578"/>
    <w:rsid w:val="004E3E35"/>
    <w:rsid w:val="00500936"/>
    <w:rsid w:val="00557307"/>
    <w:rsid w:val="00580EA9"/>
    <w:rsid w:val="005F7E35"/>
    <w:rsid w:val="0065793A"/>
    <w:rsid w:val="0068468E"/>
    <w:rsid w:val="006934FE"/>
    <w:rsid w:val="006C513E"/>
    <w:rsid w:val="006E6801"/>
    <w:rsid w:val="006F0C39"/>
    <w:rsid w:val="006F3832"/>
    <w:rsid w:val="00702662"/>
    <w:rsid w:val="00791278"/>
    <w:rsid w:val="007945A5"/>
    <w:rsid w:val="007B0CA2"/>
    <w:rsid w:val="007B430D"/>
    <w:rsid w:val="007C7F8A"/>
    <w:rsid w:val="0082082F"/>
    <w:rsid w:val="008B1C30"/>
    <w:rsid w:val="008E0E3B"/>
    <w:rsid w:val="008E5C26"/>
    <w:rsid w:val="00921792"/>
    <w:rsid w:val="00957581"/>
    <w:rsid w:val="009B6FE6"/>
    <w:rsid w:val="009E68CD"/>
    <w:rsid w:val="00A21D1D"/>
    <w:rsid w:val="00A23DF2"/>
    <w:rsid w:val="00A33741"/>
    <w:rsid w:val="00A625B5"/>
    <w:rsid w:val="00A7120C"/>
    <w:rsid w:val="00A75818"/>
    <w:rsid w:val="00AA1DE6"/>
    <w:rsid w:val="00AF4D6D"/>
    <w:rsid w:val="00B32AC2"/>
    <w:rsid w:val="00B66E38"/>
    <w:rsid w:val="00B76D31"/>
    <w:rsid w:val="00BC5B9B"/>
    <w:rsid w:val="00BD0CDB"/>
    <w:rsid w:val="00C01B85"/>
    <w:rsid w:val="00C36BC5"/>
    <w:rsid w:val="00C41D5B"/>
    <w:rsid w:val="00C804EB"/>
    <w:rsid w:val="00CC4702"/>
    <w:rsid w:val="00CE14F0"/>
    <w:rsid w:val="00DD1C07"/>
    <w:rsid w:val="00DF795C"/>
    <w:rsid w:val="00E04974"/>
    <w:rsid w:val="00EB5B9E"/>
    <w:rsid w:val="00F50689"/>
    <w:rsid w:val="00F805AA"/>
    <w:rsid w:val="00FA1995"/>
    <w:rsid w:val="00FF0934"/>
    <w:rsid w:val="00FF60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120C"/>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etitcar">
    <w:name w:val="corpetitcar"/>
    <w:uiPriority w:val="99"/>
    <w:rsid w:val="00A7120C"/>
    <w:rPr>
      <w:rFonts w:cs="Times New Roman"/>
    </w:rPr>
  </w:style>
  <w:style w:type="paragraph" w:customStyle="1" w:styleId="Corps">
    <w:name w:val="Corps"/>
    <w:uiPriority w:val="99"/>
    <w:rsid w:val="00A7120C"/>
    <w:rPr>
      <w:rFonts w:ascii="Helvetica" w:eastAsia="Calibri" w:hAnsi="Helvetica"/>
      <w:color w:val="000000"/>
      <w:sz w:val="24"/>
    </w:rPr>
  </w:style>
  <w:style w:type="table" w:styleId="Grilledutableau">
    <w:name w:val="Table Grid"/>
    <w:basedOn w:val="TableauNormal"/>
    <w:uiPriority w:val="59"/>
    <w:rsid w:val="007912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75818"/>
    <w:rPr>
      <w:rFonts w:ascii="Tahoma" w:hAnsi="Tahoma" w:cs="Tahoma"/>
      <w:sz w:val="16"/>
      <w:szCs w:val="16"/>
    </w:rPr>
  </w:style>
  <w:style w:type="character" w:customStyle="1" w:styleId="TextedebullesCar">
    <w:name w:val="Texte de bulles Car"/>
    <w:basedOn w:val="Policepardfaut"/>
    <w:link w:val="Textedebulles"/>
    <w:uiPriority w:val="99"/>
    <w:semiHidden/>
    <w:rsid w:val="00A75818"/>
    <w:rPr>
      <w:rFonts w:ascii="Tahoma" w:hAnsi="Tahoma" w:cs="Tahoma"/>
      <w:sz w:val="16"/>
      <w:szCs w:val="16"/>
    </w:rPr>
  </w:style>
  <w:style w:type="character" w:styleId="Lienhypertexte">
    <w:name w:val="Hyperlink"/>
    <w:basedOn w:val="Policepardfaut"/>
    <w:uiPriority w:val="99"/>
    <w:unhideWhenUsed/>
    <w:rsid w:val="009B6FE6"/>
    <w:rPr>
      <w:color w:val="0000FF" w:themeColor="hyperlink"/>
      <w:u w:val="single"/>
    </w:rPr>
  </w:style>
  <w:style w:type="paragraph" w:styleId="NormalWeb">
    <w:name w:val="Normal (Web)"/>
    <w:basedOn w:val="Normal"/>
    <w:uiPriority w:val="99"/>
    <w:unhideWhenUsed/>
    <w:rsid w:val="00A33741"/>
    <w:pPr>
      <w:spacing w:before="100" w:beforeAutospacing="1" w:after="100" w:afterAutospacing="1"/>
    </w:pPr>
    <w:rPr>
      <w:rFonts w:ascii="Times New Roman" w:eastAsia="Times New Roman" w:hAnsi="Times New Roman"/>
      <w:sz w:val="24"/>
      <w:szCs w:val="24"/>
    </w:rPr>
  </w:style>
  <w:style w:type="character" w:customStyle="1" w:styleId="citecrochet1">
    <w:name w:val="cite_crochet1"/>
    <w:basedOn w:val="Policepardfaut"/>
    <w:rsid w:val="00E04974"/>
    <w:rPr>
      <w:vanish/>
      <w:webHidden w:val="0"/>
      <w:specVanish w:val="0"/>
    </w:rPr>
  </w:style>
  <w:style w:type="paragraph" w:styleId="Paragraphedeliste">
    <w:name w:val="List Paragraph"/>
    <w:basedOn w:val="Normal"/>
    <w:uiPriority w:val="72"/>
    <w:qFormat/>
    <w:rsid w:val="00490225"/>
    <w:pPr>
      <w:ind w:left="720"/>
      <w:contextualSpacing/>
    </w:pPr>
  </w:style>
  <w:style w:type="character" w:styleId="Accentuation">
    <w:name w:val="Emphasis"/>
    <w:basedOn w:val="Policepardfaut"/>
    <w:uiPriority w:val="20"/>
    <w:qFormat/>
    <w:rsid w:val="00091C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6387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2083">
          <w:marLeft w:val="0"/>
          <w:marRight w:val="0"/>
          <w:marTop w:val="0"/>
          <w:marBottom w:val="0"/>
          <w:divBdr>
            <w:top w:val="none" w:sz="0" w:space="0" w:color="auto"/>
            <w:left w:val="none" w:sz="0" w:space="0" w:color="auto"/>
            <w:bottom w:val="none" w:sz="0" w:space="0" w:color="auto"/>
            <w:right w:val="none" w:sz="0" w:space="0" w:color="auto"/>
          </w:divBdr>
          <w:divsChild>
            <w:div w:id="1609698104">
              <w:marLeft w:val="0"/>
              <w:marRight w:val="0"/>
              <w:marTop w:val="0"/>
              <w:marBottom w:val="0"/>
              <w:divBdr>
                <w:top w:val="none" w:sz="0" w:space="0" w:color="auto"/>
                <w:left w:val="none" w:sz="0" w:space="0" w:color="auto"/>
                <w:bottom w:val="none" w:sz="0" w:space="0" w:color="auto"/>
                <w:right w:val="none" w:sz="0" w:space="0" w:color="auto"/>
              </w:divBdr>
              <w:divsChild>
                <w:div w:id="252738648">
                  <w:marLeft w:val="0"/>
                  <w:marRight w:val="0"/>
                  <w:marTop w:val="0"/>
                  <w:marBottom w:val="0"/>
                  <w:divBdr>
                    <w:top w:val="none" w:sz="0" w:space="0" w:color="auto"/>
                    <w:left w:val="none" w:sz="0" w:space="0" w:color="auto"/>
                    <w:bottom w:val="none" w:sz="0" w:space="0" w:color="auto"/>
                    <w:right w:val="none" w:sz="0" w:space="0" w:color="auto"/>
                  </w:divBdr>
                  <w:divsChild>
                    <w:div w:id="8894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logique-solidair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5CDF7-2C6F-4D0F-AC76-5844B0C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Pelletier</dc:creator>
  <cp:lastModifiedBy>Benjamin</cp:lastModifiedBy>
  <cp:revision>3</cp:revision>
  <dcterms:created xsi:type="dcterms:W3CDTF">2018-01-02T19:11:00Z</dcterms:created>
  <dcterms:modified xsi:type="dcterms:W3CDTF">2018-01-02T19:21:00Z</dcterms:modified>
</cp:coreProperties>
</file>