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0C" w:rsidRPr="00621C27" w:rsidRDefault="00A7120C" w:rsidP="00A7120C">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iCs/>
          <w:color w:val="000000"/>
          <w:sz w:val="28"/>
          <w:szCs w:val="28"/>
        </w:rPr>
      </w:pPr>
      <w:r w:rsidRPr="00621C27">
        <w:rPr>
          <w:rFonts w:cs="Arial"/>
          <w:b/>
          <w:iCs/>
          <w:color w:val="000000"/>
          <w:sz w:val="28"/>
          <w:szCs w:val="28"/>
        </w:rPr>
        <w:t>Épreuve composée</w:t>
      </w:r>
    </w:p>
    <w:p w:rsidR="00A7120C" w:rsidRDefault="00A7120C" w:rsidP="00A7120C">
      <w:pPr>
        <w:rPr>
          <w:rFonts w:cs="Arial"/>
          <w:b/>
          <w:iCs/>
          <w:color w:val="000000"/>
          <w:sz w:val="24"/>
        </w:rPr>
      </w:pPr>
    </w:p>
    <w:p w:rsidR="00A7120C" w:rsidRPr="00621C27" w:rsidRDefault="00A7120C" w:rsidP="00A7120C">
      <w:pPr>
        <w:rPr>
          <w:rFonts w:cs="Arial"/>
          <w:b/>
          <w:sz w:val="24"/>
        </w:rPr>
      </w:pPr>
      <w:r w:rsidRPr="00621C27">
        <w:rPr>
          <w:rFonts w:cs="Arial"/>
          <w:b/>
          <w:iCs/>
          <w:color w:val="000000"/>
          <w:sz w:val="24"/>
        </w:rPr>
        <w:t>Troisième p</w:t>
      </w:r>
      <w:r w:rsidRPr="00621C27">
        <w:rPr>
          <w:rFonts w:cs="Arial"/>
          <w:b/>
          <w:sz w:val="24"/>
        </w:rPr>
        <w:t xml:space="preserve">artie : Raisonnement s’appuyant sur un dossier documentaire </w:t>
      </w:r>
    </w:p>
    <w:p w:rsidR="00A7120C" w:rsidRPr="00621C27" w:rsidRDefault="00A7120C" w:rsidP="00A7120C">
      <w:pPr>
        <w:rPr>
          <w:rFonts w:cs="Arial"/>
          <w:b/>
          <w:sz w:val="24"/>
        </w:rPr>
      </w:pPr>
      <w:r w:rsidRPr="00621C27">
        <w:rPr>
          <w:rFonts w:cs="Arial"/>
          <w:b/>
          <w:i/>
          <w:sz w:val="24"/>
        </w:rPr>
        <w:t>(10 points)</w:t>
      </w:r>
    </w:p>
    <w:p w:rsidR="00A7120C" w:rsidRPr="00621C27" w:rsidRDefault="00A7120C" w:rsidP="00A7120C">
      <w:pPr>
        <w:jc w:val="center"/>
        <w:rPr>
          <w:rFonts w:cs="Arial"/>
          <w:i/>
          <w:sz w:val="24"/>
        </w:rPr>
      </w:pPr>
    </w:p>
    <w:p w:rsidR="00A7120C" w:rsidRPr="00621C27" w:rsidRDefault="00A7120C" w:rsidP="00A7120C">
      <w:pPr>
        <w:jc w:val="center"/>
        <w:rPr>
          <w:rFonts w:cs="Arial"/>
          <w:i/>
          <w:sz w:val="24"/>
        </w:rPr>
      </w:pPr>
      <w:r w:rsidRPr="00621C27">
        <w:rPr>
          <w:rFonts w:cs="Arial"/>
          <w:i/>
          <w:sz w:val="24"/>
        </w:rPr>
        <w:t xml:space="preserve">Cette partie comporte </w:t>
      </w:r>
      <w:r w:rsidR="00DF5CD9">
        <w:rPr>
          <w:rFonts w:cs="Arial"/>
          <w:i/>
          <w:sz w:val="24"/>
        </w:rPr>
        <w:t>trois</w:t>
      </w:r>
      <w:r w:rsidRPr="00621C27">
        <w:rPr>
          <w:rFonts w:cs="Arial"/>
          <w:i/>
          <w:sz w:val="24"/>
        </w:rPr>
        <w:t xml:space="preserve"> documents.</w:t>
      </w:r>
    </w:p>
    <w:p w:rsidR="00A7120C" w:rsidRPr="00621C27" w:rsidRDefault="00A7120C" w:rsidP="00A7120C">
      <w:pPr>
        <w:jc w:val="center"/>
        <w:rPr>
          <w:rFonts w:cs="Arial"/>
          <w:b/>
          <w:i/>
          <w:sz w:val="24"/>
        </w:rPr>
      </w:pPr>
    </w:p>
    <w:p w:rsidR="003A4695" w:rsidRPr="001414E5" w:rsidRDefault="00455CB8" w:rsidP="001414E5">
      <w:pPr>
        <w:jc w:val="both"/>
        <w:rPr>
          <w:rFonts w:cs="Arial"/>
          <w:b/>
          <w:sz w:val="24"/>
          <w:lang w:eastAsia="en-US"/>
        </w:rPr>
      </w:pPr>
      <w:r w:rsidRPr="001414E5">
        <w:rPr>
          <w:rFonts w:cs="Arial"/>
          <w:b/>
          <w:sz w:val="24"/>
          <w:lang w:eastAsia="en-US"/>
        </w:rPr>
        <w:t xml:space="preserve">Sujet : </w:t>
      </w:r>
      <w:r w:rsidR="00BE51F9" w:rsidRPr="001414E5">
        <w:rPr>
          <w:rFonts w:cs="Arial"/>
          <w:b/>
          <w:sz w:val="24"/>
          <w:lang w:eastAsia="en-US"/>
        </w:rPr>
        <w:t xml:space="preserve">À l’aide de vos connaissances et du dossier documentaire, vous montrerez </w:t>
      </w:r>
      <w:r w:rsidR="003A4695" w:rsidRPr="001414E5">
        <w:rPr>
          <w:rFonts w:cs="Arial"/>
          <w:b/>
          <w:sz w:val="24"/>
          <w:lang w:eastAsia="en-US"/>
        </w:rPr>
        <w:t>que les entreprises ont recours à différents modes de financement.</w:t>
      </w:r>
    </w:p>
    <w:p w:rsidR="00A7120C" w:rsidRPr="00621C27" w:rsidRDefault="00A7120C" w:rsidP="00A7120C">
      <w:pPr>
        <w:rPr>
          <w:rFonts w:cs="Arial"/>
          <w:b/>
          <w:sz w:val="24"/>
        </w:rPr>
      </w:pPr>
    </w:p>
    <w:p w:rsidR="00A7120C" w:rsidRPr="00621C27" w:rsidRDefault="00A7120C" w:rsidP="00A7120C">
      <w:pPr>
        <w:rPr>
          <w:rFonts w:cs="Arial"/>
          <w:b/>
          <w:sz w:val="24"/>
        </w:rPr>
      </w:pPr>
    </w:p>
    <w:p w:rsidR="00A7120C" w:rsidRPr="00621C27" w:rsidRDefault="00227CFC" w:rsidP="00A7120C">
      <w:pPr>
        <w:rPr>
          <w:rFonts w:cs="Arial"/>
          <w:b/>
          <w:sz w:val="24"/>
        </w:rPr>
      </w:pPr>
      <w:r>
        <w:rPr>
          <w:rFonts w:cs="Arial"/>
          <w:b/>
          <w:sz w:val="24"/>
        </w:rPr>
        <w:t xml:space="preserve">DOCUMENT </w:t>
      </w:r>
      <w:r w:rsidR="008B3D51">
        <w:rPr>
          <w:rFonts w:cs="Arial"/>
          <w:b/>
          <w:sz w:val="24"/>
        </w:rPr>
        <w:t>1</w:t>
      </w:r>
    </w:p>
    <w:p w:rsidR="003B4C92" w:rsidRPr="003B4C92" w:rsidRDefault="003B4C92" w:rsidP="003B4C92">
      <w:pPr>
        <w:jc w:val="both"/>
        <w:rPr>
          <w:rFonts w:cs="Arial"/>
          <w:sz w:val="24"/>
          <w:lang w:eastAsia="en-US"/>
        </w:rPr>
      </w:pPr>
      <w:r w:rsidRPr="003B4C92">
        <w:rPr>
          <w:rFonts w:cs="Arial"/>
          <w:sz w:val="24"/>
          <w:lang w:eastAsia="en-US"/>
        </w:rPr>
        <w:t>La désintermédiation qualifie la montée en puissance des marchés de capitaux au détriment des intermédiaires financiers, en particulier des banques. On oppose en général la finance indirecte (ou intermédiée) à la finance directe […]</w:t>
      </w:r>
    </w:p>
    <w:p w:rsidR="003B4C92" w:rsidRPr="003B4C92" w:rsidRDefault="003B4C92" w:rsidP="003B4C92">
      <w:pPr>
        <w:jc w:val="both"/>
        <w:rPr>
          <w:rFonts w:cs="Arial"/>
          <w:sz w:val="24"/>
          <w:lang w:eastAsia="en-US"/>
        </w:rPr>
      </w:pPr>
      <w:r w:rsidRPr="003B4C92">
        <w:rPr>
          <w:rFonts w:cs="Arial"/>
          <w:sz w:val="24"/>
          <w:lang w:eastAsia="en-US"/>
        </w:rPr>
        <w:t xml:space="preserve">Dans les années 1980, tous les pays industrialisés connaissent un déclin de la finance intermédiée au profit de la finance directe. De fait, les entreprises et les États, qui font face à une contrainte financière croissante, trouvent alors sur les marchés les capitaux dont ils ont besoin par l'émission d'actions et/ou d'obligations. </w:t>
      </w:r>
    </w:p>
    <w:p w:rsidR="003B4C92" w:rsidRPr="003B4C92" w:rsidRDefault="003B4C92" w:rsidP="003B4C92">
      <w:pPr>
        <w:jc w:val="both"/>
        <w:rPr>
          <w:rFonts w:cs="Arial"/>
          <w:sz w:val="24"/>
          <w:lang w:eastAsia="en-US"/>
        </w:rPr>
      </w:pPr>
      <w:r w:rsidRPr="003B4C92">
        <w:rPr>
          <w:rFonts w:cs="Arial"/>
          <w:sz w:val="24"/>
          <w:lang w:eastAsia="en-US"/>
        </w:rPr>
        <w:t>[…]</w:t>
      </w:r>
    </w:p>
    <w:p w:rsidR="003B4C92" w:rsidRPr="003B4C92" w:rsidRDefault="003B4C92" w:rsidP="003B4C92">
      <w:pPr>
        <w:jc w:val="both"/>
        <w:rPr>
          <w:rFonts w:cs="Arial"/>
          <w:sz w:val="24"/>
          <w:lang w:eastAsia="en-US"/>
        </w:rPr>
      </w:pPr>
      <w:r w:rsidRPr="003B4C92">
        <w:rPr>
          <w:rFonts w:cs="Arial"/>
          <w:sz w:val="24"/>
          <w:lang w:eastAsia="en-US"/>
        </w:rPr>
        <w:t>En France, la part des crédits bancaires dans le financement externe des agents non financiers est progressivement passée de 70 % à la fin des années 1970 à 40 % environ en 2001, après avoir marqué un palier à environ 60 % entre 1986 et 1991.</w:t>
      </w:r>
    </w:p>
    <w:p w:rsidR="003B4C92" w:rsidRPr="003B4C92" w:rsidRDefault="003B4C92" w:rsidP="003B4C92">
      <w:pPr>
        <w:jc w:val="both"/>
        <w:rPr>
          <w:rFonts w:cs="Arial"/>
          <w:sz w:val="24"/>
          <w:lang w:eastAsia="en-US"/>
        </w:rPr>
      </w:pPr>
      <w:r w:rsidRPr="003B4C92">
        <w:rPr>
          <w:rFonts w:cs="Arial"/>
          <w:sz w:val="24"/>
          <w:lang w:eastAsia="en-US"/>
        </w:rPr>
        <w:t>[…]</w:t>
      </w:r>
    </w:p>
    <w:p w:rsidR="003B4C92" w:rsidRPr="003B4C92" w:rsidRDefault="003B4C92" w:rsidP="003B4C92">
      <w:pPr>
        <w:jc w:val="both"/>
        <w:rPr>
          <w:rFonts w:cs="Arial"/>
          <w:sz w:val="24"/>
          <w:lang w:eastAsia="en-US"/>
        </w:rPr>
      </w:pPr>
      <w:r w:rsidRPr="003B4C92">
        <w:rPr>
          <w:rFonts w:cs="Arial"/>
          <w:sz w:val="24"/>
          <w:lang w:eastAsia="en-US"/>
        </w:rPr>
        <w:t xml:space="preserve">Toutefois, une analyse plus fine tend à montrer que le processus de </w:t>
      </w:r>
      <w:r w:rsidR="00B973D1">
        <w:rPr>
          <w:rFonts w:cs="Arial"/>
          <w:sz w:val="24"/>
          <w:lang w:eastAsia="en-US"/>
        </w:rPr>
        <w:br/>
      </w:r>
      <w:r w:rsidRPr="003B4C92">
        <w:rPr>
          <w:rFonts w:cs="Arial"/>
          <w:sz w:val="24"/>
          <w:lang w:eastAsia="en-US"/>
        </w:rPr>
        <w:t xml:space="preserve">« désintermédiation » correspond surtout à un déplacement du champ d'activité des intermédiaires financiers. Au-delà du phénomène de désintermédiation, une nouvelle forme d'intermédiation a pris place, dans un environnement caractérisé par une formidable croissance des activités de marché. </w:t>
      </w:r>
    </w:p>
    <w:p w:rsidR="003B4C92" w:rsidRPr="007A0DE4" w:rsidRDefault="003B4C92" w:rsidP="003B4C92">
      <w:pPr>
        <w:jc w:val="both"/>
        <w:rPr>
          <w:rFonts w:cs="Arial"/>
          <w:lang w:eastAsia="en-US"/>
        </w:rPr>
      </w:pPr>
    </w:p>
    <w:p w:rsidR="005B4B6A" w:rsidRPr="001414E5" w:rsidRDefault="003B4C92" w:rsidP="005B4B6A">
      <w:pPr>
        <w:jc w:val="right"/>
        <w:rPr>
          <w:rFonts w:cs="Arial"/>
          <w:sz w:val="22"/>
          <w:lang w:eastAsia="en-US"/>
        </w:rPr>
      </w:pPr>
      <w:r w:rsidRPr="001414E5">
        <w:rPr>
          <w:rFonts w:cs="Arial"/>
          <w:sz w:val="22"/>
          <w:lang w:eastAsia="en-US"/>
        </w:rPr>
        <w:t xml:space="preserve">Source : </w:t>
      </w:r>
      <w:r w:rsidRPr="001414E5">
        <w:rPr>
          <w:rFonts w:cs="Arial"/>
          <w:i/>
          <w:sz w:val="22"/>
          <w:lang w:eastAsia="en-US"/>
        </w:rPr>
        <w:t>Trente ans de mutation financière</w:t>
      </w:r>
      <w:r w:rsidRPr="001414E5">
        <w:rPr>
          <w:rFonts w:cs="Arial"/>
          <w:sz w:val="22"/>
          <w:lang w:eastAsia="en-US"/>
        </w:rPr>
        <w:t xml:space="preserve">, </w:t>
      </w:r>
      <w:r w:rsidR="001414E5" w:rsidRPr="001414E5">
        <w:rPr>
          <w:rFonts w:cs="Arial"/>
          <w:sz w:val="22"/>
          <w:lang w:eastAsia="en-US"/>
        </w:rPr>
        <w:t>Nicolas C</w:t>
      </w:r>
      <w:r w:rsidR="002D1034">
        <w:rPr>
          <w:rFonts w:cs="Arial"/>
          <w:sz w:val="22"/>
          <w:lang w:eastAsia="en-US"/>
        </w:rPr>
        <w:t>OUDERC</w:t>
      </w:r>
      <w:r w:rsidR="001414E5" w:rsidRPr="001414E5">
        <w:rPr>
          <w:rFonts w:cs="Arial"/>
          <w:sz w:val="22"/>
          <w:lang w:eastAsia="en-US"/>
        </w:rPr>
        <w:t>,</w:t>
      </w:r>
    </w:p>
    <w:p w:rsidR="003B4C92" w:rsidRPr="005B4B6A" w:rsidRDefault="003B4C92" w:rsidP="005B4B6A">
      <w:pPr>
        <w:jc w:val="right"/>
        <w:rPr>
          <w:rFonts w:cs="Arial"/>
          <w:sz w:val="22"/>
          <w:lang w:eastAsia="en-US"/>
        </w:rPr>
      </w:pPr>
      <w:r w:rsidRPr="001414E5">
        <w:rPr>
          <w:rFonts w:cs="Arial"/>
          <w:sz w:val="22"/>
          <w:lang w:eastAsia="en-US"/>
        </w:rPr>
        <w:t>Cahiers français n°361, avril 2011</w:t>
      </w:r>
      <w:r w:rsidR="00C9221B">
        <w:rPr>
          <w:rFonts w:cs="Arial"/>
          <w:sz w:val="22"/>
          <w:lang w:eastAsia="en-US"/>
        </w:rPr>
        <w:t>.</w:t>
      </w:r>
    </w:p>
    <w:p w:rsidR="006F1B7C" w:rsidRDefault="006F1B7C" w:rsidP="00892BE2">
      <w:pPr>
        <w:pStyle w:val="Sansinterligne"/>
        <w:jc w:val="both"/>
        <w:rPr>
          <w:rFonts w:ascii="Arial" w:hAnsi="Arial" w:cs="Arial"/>
          <w:sz w:val="24"/>
          <w:szCs w:val="24"/>
        </w:rPr>
      </w:pPr>
    </w:p>
    <w:p w:rsidR="00DF5CD9" w:rsidRPr="00621C27" w:rsidRDefault="00DF5CD9" w:rsidP="00DF5CD9">
      <w:pPr>
        <w:rPr>
          <w:rFonts w:cs="Arial"/>
          <w:b/>
          <w:sz w:val="24"/>
        </w:rPr>
      </w:pPr>
      <w:r>
        <w:rPr>
          <w:rFonts w:cs="Arial"/>
          <w:b/>
          <w:sz w:val="24"/>
        </w:rPr>
        <w:t>DOCUMENT 2</w:t>
      </w:r>
    </w:p>
    <w:p w:rsidR="00DF5CD9" w:rsidRPr="008B3D51" w:rsidRDefault="00DF5CD9" w:rsidP="00DF5CD9">
      <w:pPr>
        <w:autoSpaceDE w:val="0"/>
        <w:autoSpaceDN w:val="0"/>
        <w:adjustRightInd w:val="0"/>
        <w:jc w:val="both"/>
        <w:rPr>
          <w:rFonts w:cs="Arial"/>
          <w:color w:val="000000"/>
          <w:sz w:val="24"/>
          <w:szCs w:val="24"/>
        </w:rPr>
      </w:pPr>
      <w:r w:rsidRPr="008B3D51">
        <w:rPr>
          <w:rFonts w:cs="Arial"/>
          <w:color w:val="000000"/>
          <w:sz w:val="24"/>
          <w:szCs w:val="24"/>
        </w:rPr>
        <w:t>Subissant une baisse de l’autofinancement en raison de la dégradation de leurs marges</w:t>
      </w:r>
      <w:r w:rsidR="005B4B6A">
        <w:rPr>
          <w:rFonts w:cs="Arial"/>
          <w:color w:val="000000"/>
          <w:sz w:val="24"/>
          <w:szCs w:val="24"/>
          <w:vertAlign w:val="superscript"/>
        </w:rPr>
        <w:t>1</w:t>
      </w:r>
      <w:r w:rsidRPr="008B3D51">
        <w:rPr>
          <w:rFonts w:cs="Arial"/>
          <w:color w:val="000000"/>
          <w:sz w:val="24"/>
          <w:szCs w:val="24"/>
        </w:rPr>
        <w:t xml:space="preserve">, les entreprises industrielles doivent se tourner de manière accrue vers des sources de financement externes pour maintenir le niveau de leurs investissements. </w:t>
      </w:r>
    </w:p>
    <w:p w:rsidR="00DF5CD9" w:rsidRPr="008B3D51" w:rsidRDefault="00DF5CD9" w:rsidP="00DF5CD9">
      <w:pPr>
        <w:autoSpaceDE w:val="0"/>
        <w:autoSpaceDN w:val="0"/>
        <w:adjustRightInd w:val="0"/>
        <w:jc w:val="both"/>
        <w:rPr>
          <w:rFonts w:cs="Arial"/>
          <w:color w:val="000000"/>
          <w:sz w:val="24"/>
          <w:szCs w:val="24"/>
        </w:rPr>
      </w:pPr>
      <w:r w:rsidRPr="008B3D51">
        <w:rPr>
          <w:rFonts w:cs="Arial"/>
          <w:bCs/>
          <w:iCs/>
          <w:color w:val="000000"/>
          <w:sz w:val="24"/>
          <w:szCs w:val="24"/>
        </w:rPr>
        <w:t>Le taux d’endettement</w:t>
      </w:r>
      <w:r w:rsidR="005B4B6A">
        <w:rPr>
          <w:rFonts w:cs="Arial"/>
          <w:bCs/>
          <w:iCs/>
          <w:color w:val="000000"/>
          <w:sz w:val="24"/>
          <w:szCs w:val="24"/>
          <w:vertAlign w:val="superscript"/>
        </w:rPr>
        <w:t>2</w:t>
      </w:r>
      <w:r w:rsidRPr="008B3D51">
        <w:rPr>
          <w:rFonts w:cs="Arial"/>
          <w:bCs/>
          <w:iCs/>
          <w:color w:val="000000"/>
          <w:sz w:val="24"/>
          <w:szCs w:val="24"/>
        </w:rPr>
        <w:t xml:space="preserve"> de l’industrie manufacturière est globalement stable depuis 1998, à un niveau inférieur à celui des autres secteurs d’activité.</w:t>
      </w:r>
      <w:r w:rsidRPr="00DF5CD9">
        <w:rPr>
          <w:rFonts w:cs="Arial"/>
          <w:color w:val="000000"/>
          <w:sz w:val="24"/>
          <w:szCs w:val="24"/>
        </w:rPr>
        <w:t xml:space="preserve"> […]</w:t>
      </w:r>
    </w:p>
    <w:p w:rsidR="00DF5CD9" w:rsidRPr="008B3D51" w:rsidRDefault="00DF5CD9" w:rsidP="00DF5CD9">
      <w:pPr>
        <w:autoSpaceDE w:val="0"/>
        <w:autoSpaceDN w:val="0"/>
        <w:adjustRightInd w:val="0"/>
        <w:jc w:val="both"/>
        <w:rPr>
          <w:rFonts w:cs="Arial"/>
          <w:color w:val="000000"/>
          <w:sz w:val="24"/>
          <w:szCs w:val="24"/>
        </w:rPr>
      </w:pPr>
      <w:r w:rsidRPr="008B3D51">
        <w:rPr>
          <w:rFonts w:cs="Arial"/>
          <w:bCs/>
          <w:color w:val="000000"/>
          <w:sz w:val="24"/>
          <w:szCs w:val="24"/>
        </w:rPr>
        <w:t>Ce constat général ne doit pas masquer des disparités importantes au sein du secteur industriel en fonction de la taille des entreprises</w:t>
      </w:r>
      <w:r w:rsidRPr="008B3D51">
        <w:rPr>
          <w:rFonts w:cs="Arial"/>
          <w:color w:val="000000"/>
          <w:sz w:val="24"/>
          <w:szCs w:val="24"/>
        </w:rPr>
        <w:t>. Si le taux d’endettement des grandes entreprises reste relativement stable sur la période</w:t>
      </w:r>
      <w:r w:rsidRPr="00DF5CD9">
        <w:rPr>
          <w:rFonts w:cs="Arial"/>
          <w:color w:val="000000"/>
          <w:sz w:val="24"/>
          <w:szCs w:val="24"/>
        </w:rPr>
        <w:t>, celui des ETI</w:t>
      </w:r>
      <w:r w:rsidR="005B4B6A">
        <w:rPr>
          <w:rFonts w:cs="Arial"/>
          <w:color w:val="000000"/>
          <w:sz w:val="24"/>
          <w:szCs w:val="24"/>
          <w:vertAlign w:val="superscript"/>
        </w:rPr>
        <w:t>3</w:t>
      </w:r>
      <w:r w:rsidRPr="00DF5CD9">
        <w:rPr>
          <w:rFonts w:cs="Arial"/>
          <w:color w:val="000000"/>
          <w:sz w:val="24"/>
          <w:szCs w:val="24"/>
        </w:rPr>
        <w:t xml:space="preserve"> s’accroit depuis 2006. Au contraire, pour les PMI</w:t>
      </w:r>
      <w:r w:rsidR="005B4B6A">
        <w:rPr>
          <w:rFonts w:cs="Arial"/>
          <w:color w:val="000000"/>
          <w:sz w:val="24"/>
          <w:szCs w:val="24"/>
          <w:vertAlign w:val="superscript"/>
        </w:rPr>
        <w:t>4</w:t>
      </w:r>
      <w:r w:rsidRPr="00DF5CD9">
        <w:rPr>
          <w:rFonts w:cs="Arial"/>
          <w:color w:val="000000"/>
          <w:sz w:val="24"/>
          <w:szCs w:val="24"/>
        </w:rPr>
        <w:t>, le taux d’endettement diminue</w:t>
      </w:r>
      <w:r w:rsidRPr="008B3D51">
        <w:rPr>
          <w:rFonts w:cs="Arial"/>
          <w:color w:val="000000"/>
          <w:sz w:val="24"/>
          <w:szCs w:val="24"/>
        </w:rPr>
        <w:t xml:space="preserve"> régulièrement entre 2000 et 2012, passant de 88% à 62%. </w:t>
      </w:r>
      <w:r w:rsidRPr="008B3D51">
        <w:rPr>
          <w:rFonts w:cs="Arial"/>
          <w:bCs/>
          <w:color w:val="000000"/>
          <w:sz w:val="24"/>
          <w:szCs w:val="24"/>
        </w:rPr>
        <w:t>[…]</w:t>
      </w:r>
      <w:r w:rsidRPr="008B3D51">
        <w:rPr>
          <w:rFonts w:cs="Arial"/>
          <w:color w:val="000000"/>
          <w:sz w:val="24"/>
          <w:szCs w:val="24"/>
        </w:rPr>
        <w:t xml:space="preserve">. </w:t>
      </w:r>
    </w:p>
    <w:p w:rsidR="00DF5CD9" w:rsidRPr="008B3D51" w:rsidRDefault="00DF5CD9" w:rsidP="00DF5CD9">
      <w:pPr>
        <w:pStyle w:val="Default"/>
        <w:jc w:val="both"/>
        <w:rPr>
          <w:rFonts w:ascii="Arial" w:hAnsi="Arial" w:cs="Arial"/>
        </w:rPr>
      </w:pPr>
      <w:r w:rsidRPr="008B3D51">
        <w:rPr>
          <w:rFonts w:ascii="Arial" w:hAnsi="Arial" w:cs="Arial"/>
        </w:rPr>
        <w:t xml:space="preserve">Disposant d’un accès plus aisé aux marchés financiers, </w:t>
      </w:r>
      <w:r w:rsidRPr="008B3D51">
        <w:rPr>
          <w:rFonts w:ascii="Arial" w:hAnsi="Arial" w:cs="Arial"/>
          <w:bCs/>
        </w:rPr>
        <w:t>les grandes entreprises substituent massivement depuis le début de la crise des emprunts obligataires</w:t>
      </w:r>
      <w:r w:rsidR="005B4B6A">
        <w:rPr>
          <w:rFonts w:ascii="Arial" w:hAnsi="Arial" w:cs="Arial"/>
          <w:bCs/>
          <w:vertAlign w:val="superscript"/>
        </w:rPr>
        <w:t>5</w:t>
      </w:r>
      <w:r w:rsidRPr="008B3D51">
        <w:rPr>
          <w:rFonts w:ascii="Arial" w:hAnsi="Arial" w:cs="Arial"/>
          <w:bCs/>
        </w:rPr>
        <w:t xml:space="preserve"> à l’endettement bancaire</w:t>
      </w:r>
      <w:r w:rsidRPr="008B3D51">
        <w:rPr>
          <w:rFonts w:ascii="Arial" w:hAnsi="Arial" w:cs="Arial"/>
        </w:rPr>
        <w:t xml:space="preserve">. Ce comportement a été particulièrement prononcé dans les grands groupes industriels cotés en bourse. </w:t>
      </w:r>
      <w:r>
        <w:rPr>
          <w:rFonts w:ascii="Arial" w:hAnsi="Arial" w:cs="Arial"/>
        </w:rPr>
        <w:t>[…]</w:t>
      </w:r>
    </w:p>
    <w:p w:rsidR="00DF5CD9" w:rsidRPr="008B3D51" w:rsidRDefault="00DF5CD9" w:rsidP="00DF5CD9">
      <w:pPr>
        <w:pStyle w:val="Default"/>
        <w:jc w:val="both"/>
        <w:rPr>
          <w:rFonts w:ascii="Arial" w:hAnsi="Arial" w:cs="Arial"/>
        </w:rPr>
      </w:pPr>
      <w:r w:rsidRPr="008B3D51">
        <w:rPr>
          <w:rFonts w:ascii="Arial" w:hAnsi="Arial" w:cs="Arial"/>
        </w:rPr>
        <w:t xml:space="preserve">Plus dépendantes du crédit face aux exigences et contraintes d’un financement par </w:t>
      </w:r>
      <w:r w:rsidR="005B4B6A">
        <w:rPr>
          <w:rFonts w:ascii="Arial" w:hAnsi="Arial" w:cs="Arial"/>
        </w:rPr>
        <w:t>l</w:t>
      </w:r>
      <w:r w:rsidRPr="008B3D51">
        <w:rPr>
          <w:rFonts w:ascii="Arial" w:hAnsi="Arial" w:cs="Arial"/>
        </w:rPr>
        <w:t xml:space="preserve">es marchés, </w:t>
      </w:r>
      <w:r w:rsidRPr="008B3D51">
        <w:rPr>
          <w:rFonts w:ascii="Arial" w:hAnsi="Arial" w:cs="Arial"/>
          <w:bCs/>
        </w:rPr>
        <w:t xml:space="preserve">les PMI continuent à l’inverse à financer leur endettement par </w:t>
      </w:r>
      <w:r w:rsidRPr="008B3D51">
        <w:rPr>
          <w:rFonts w:ascii="Arial" w:hAnsi="Arial" w:cs="Arial"/>
          <w:bCs/>
        </w:rPr>
        <w:lastRenderedPageBreak/>
        <w:t>l’intermédiaire des établissements bancaires</w:t>
      </w:r>
      <w:r w:rsidRPr="008B3D51">
        <w:rPr>
          <w:rFonts w:ascii="Arial" w:hAnsi="Arial" w:cs="Arial"/>
        </w:rPr>
        <w:t xml:space="preserve">, ceux-ci apportant encore près de 70% des ressources d’endettement (les encours de crédit des PMI de l’industrie manufacturière représentent ainsi 24,9 </w:t>
      </w:r>
      <w:r w:rsidR="005B4B6A">
        <w:rPr>
          <w:rFonts w:ascii="Arial" w:hAnsi="Arial" w:cs="Arial"/>
        </w:rPr>
        <w:t xml:space="preserve">milliards d’euros </w:t>
      </w:r>
      <w:r w:rsidRPr="008B3D51">
        <w:rPr>
          <w:rFonts w:ascii="Arial" w:hAnsi="Arial" w:cs="Arial"/>
        </w:rPr>
        <w:t xml:space="preserve">en 2014). Le financement obligataire reste marginal pour cette catégorie d’entreprises. </w:t>
      </w:r>
    </w:p>
    <w:p w:rsidR="00DF5CD9" w:rsidRPr="008B3D51" w:rsidRDefault="00DF5CD9" w:rsidP="00DF5CD9">
      <w:pPr>
        <w:pStyle w:val="Default"/>
        <w:jc w:val="both"/>
        <w:rPr>
          <w:rFonts w:ascii="Arial" w:hAnsi="Arial" w:cs="Arial"/>
        </w:rPr>
      </w:pPr>
      <w:r w:rsidRPr="008B3D51">
        <w:rPr>
          <w:rFonts w:ascii="Arial" w:hAnsi="Arial" w:cs="Arial"/>
        </w:rPr>
        <w:t>Enfin, les ETI occupent une situation intermédiaire, et voient la part du financement obligataire s’accroître notablement ces dernières années, en substitution du crédit de moyen long terme</w:t>
      </w:r>
      <w:r w:rsidR="005B4B6A">
        <w:rPr>
          <w:rFonts w:ascii="Arial" w:hAnsi="Arial" w:cs="Arial"/>
          <w:vertAlign w:val="superscript"/>
        </w:rPr>
        <w:t>6</w:t>
      </w:r>
      <w:r w:rsidRPr="008B3D51">
        <w:rPr>
          <w:rFonts w:ascii="Arial" w:hAnsi="Arial" w:cs="Arial"/>
        </w:rPr>
        <w:t xml:space="preserve"> bancaire</w:t>
      </w:r>
      <w:r>
        <w:rPr>
          <w:rFonts w:ascii="Arial" w:hAnsi="Arial" w:cs="Arial"/>
        </w:rPr>
        <w:t xml:space="preserve"> </w:t>
      </w:r>
      <w:r w:rsidRPr="008B3D51">
        <w:rPr>
          <w:rFonts w:ascii="Arial" w:hAnsi="Arial" w:cs="Arial"/>
        </w:rPr>
        <w:t>[…]</w:t>
      </w:r>
      <w:r>
        <w:rPr>
          <w:rFonts w:ascii="Arial" w:hAnsi="Arial" w:cs="Arial"/>
        </w:rPr>
        <w:t>.</w:t>
      </w:r>
    </w:p>
    <w:p w:rsidR="00DF5CD9" w:rsidRPr="007A0DE4" w:rsidRDefault="00DF5CD9" w:rsidP="00DF5CD9">
      <w:pPr>
        <w:autoSpaceDE w:val="0"/>
        <w:autoSpaceDN w:val="0"/>
        <w:adjustRightInd w:val="0"/>
        <w:jc w:val="both"/>
        <w:rPr>
          <w:rFonts w:cs="Arial"/>
          <w:color w:val="000000"/>
        </w:rPr>
      </w:pPr>
    </w:p>
    <w:p w:rsidR="005B4B6A" w:rsidRDefault="00DF5CD9" w:rsidP="005B4B6A">
      <w:pPr>
        <w:autoSpaceDE w:val="0"/>
        <w:autoSpaceDN w:val="0"/>
        <w:adjustRightInd w:val="0"/>
        <w:jc w:val="right"/>
        <w:rPr>
          <w:rFonts w:cs="Arial"/>
          <w:bCs/>
          <w:color w:val="000000"/>
          <w:sz w:val="22"/>
        </w:rPr>
      </w:pPr>
      <w:r w:rsidRPr="007A0DE4">
        <w:rPr>
          <w:rFonts w:cs="Arial"/>
          <w:color w:val="000000"/>
        </w:rPr>
        <w:t xml:space="preserve"> </w:t>
      </w:r>
      <w:r w:rsidR="005B4B6A" w:rsidRPr="005B4B6A">
        <w:rPr>
          <w:rFonts w:cs="Arial"/>
          <w:color w:val="000000"/>
          <w:sz w:val="22"/>
        </w:rPr>
        <w:t xml:space="preserve">Source : </w:t>
      </w:r>
      <w:r w:rsidRPr="005B4B6A">
        <w:rPr>
          <w:rFonts w:cs="Arial"/>
          <w:bCs/>
          <w:i/>
          <w:color w:val="000000"/>
          <w:sz w:val="22"/>
        </w:rPr>
        <w:t>L</w:t>
      </w:r>
      <w:r w:rsidR="005B4B6A" w:rsidRPr="005B4B6A">
        <w:rPr>
          <w:rFonts w:cs="Arial"/>
          <w:bCs/>
          <w:i/>
          <w:color w:val="000000"/>
          <w:sz w:val="22"/>
        </w:rPr>
        <w:t>e financement des entreprises industrielles</w:t>
      </w:r>
      <w:r w:rsidR="005B4B6A" w:rsidRPr="005B4B6A">
        <w:rPr>
          <w:rFonts w:cs="Arial"/>
          <w:bCs/>
          <w:color w:val="000000"/>
          <w:sz w:val="22"/>
        </w:rPr>
        <w:t xml:space="preserve">, </w:t>
      </w:r>
      <w:r w:rsidRPr="005B4B6A">
        <w:rPr>
          <w:rFonts w:cs="Arial"/>
          <w:bCs/>
          <w:color w:val="000000"/>
          <w:sz w:val="22"/>
        </w:rPr>
        <w:t xml:space="preserve">Rapport du groupe de travail </w:t>
      </w:r>
    </w:p>
    <w:p w:rsidR="00DF5CD9" w:rsidRPr="007A0DE4" w:rsidRDefault="00DF5CD9" w:rsidP="005B4B6A">
      <w:pPr>
        <w:autoSpaceDE w:val="0"/>
        <w:autoSpaceDN w:val="0"/>
        <w:adjustRightInd w:val="0"/>
        <w:jc w:val="right"/>
        <w:rPr>
          <w:rFonts w:cs="Arial"/>
          <w:color w:val="000000"/>
        </w:rPr>
      </w:pPr>
      <w:proofErr w:type="gramStart"/>
      <w:r w:rsidRPr="005B4B6A">
        <w:rPr>
          <w:rFonts w:cs="Arial"/>
          <w:bCs/>
          <w:color w:val="000000"/>
          <w:sz w:val="22"/>
        </w:rPr>
        <w:t>au</w:t>
      </w:r>
      <w:proofErr w:type="gramEnd"/>
      <w:r w:rsidRPr="005B4B6A">
        <w:rPr>
          <w:rFonts w:cs="Arial"/>
          <w:bCs/>
          <w:color w:val="000000"/>
          <w:sz w:val="22"/>
        </w:rPr>
        <w:t xml:space="preserve"> bureau du Conseil National de l’Industrie</w:t>
      </w:r>
      <w:r w:rsidR="005B4B6A" w:rsidRPr="005B4B6A">
        <w:rPr>
          <w:rFonts w:cs="Arial"/>
          <w:bCs/>
          <w:color w:val="000000"/>
          <w:sz w:val="22"/>
        </w:rPr>
        <w:t xml:space="preserve">, </w:t>
      </w:r>
      <w:r w:rsidRPr="005B4B6A">
        <w:rPr>
          <w:rFonts w:cs="Arial"/>
          <w:sz w:val="22"/>
        </w:rPr>
        <w:t>Novembre 2014</w:t>
      </w:r>
      <w:r w:rsidR="00C9221B">
        <w:rPr>
          <w:rFonts w:cs="Arial"/>
          <w:sz w:val="22"/>
        </w:rPr>
        <w:t>.</w:t>
      </w:r>
    </w:p>
    <w:p w:rsidR="00DF5CD9" w:rsidRDefault="00DF5CD9" w:rsidP="00DF5CD9">
      <w:pPr>
        <w:rPr>
          <w:rFonts w:cs="Arial"/>
          <w:b/>
          <w:sz w:val="24"/>
        </w:rPr>
      </w:pPr>
    </w:p>
    <w:p w:rsidR="005B4B6A" w:rsidRPr="001414E5" w:rsidRDefault="00DF5CD9" w:rsidP="00DF5CD9">
      <w:pPr>
        <w:rPr>
          <w:rFonts w:eastAsiaTheme="minorEastAsia" w:cs="Arial"/>
          <w:color w:val="000000"/>
          <w:sz w:val="22"/>
          <w:szCs w:val="24"/>
        </w:rPr>
      </w:pPr>
      <w:r w:rsidRPr="001414E5">
        <w:rPr>
          <w:rFonts w:eastAsiaTheme="minorEastAsia" w:cs="Arial"/>
          <w:color w:val="000000"/>
          <w:sz w:val="22"/>
          <w:szCs w:val="24"/>
        </w:rPr>
        <w:t>1</w:t>
      </w:r>
      <w:r w:rsidR="001414E5" w:rsidRPr="001414E5">
        <w:rPr>
          <w:rFonts w:eastAsiaTheme="minorEastAsia" w:cs="Arial"/>
          <w:color w:val="000000"/>
          <w:sz w:val="22"/>
          <w:szCs w:val="24"/>
        </w:rPr>
        <w:t xml:space="preserve"> : </w:t>
      </w:r>
      <w:r w:rsidR="002D1034">
        <w:rPr>
          <w:rFonts w:eastAsiaTheme="minorEastAsia" w:cs="Arial"/>
          <w:color w:val="000000"/>
          <w:sz w:val="22"/>
          <w:szCs w:val="24"/>
        </w:rPr>
        <w:t>P</w:t>
      </w:r>
      <w:r w:rsidR="005B4B6A" w:rsidRPr="001414E5">
        <w:rPr>
          <w:rFonts w:eastAsiaTheme="minorEastAsia" w:cs="Arial"/>
          <w:color w:val="000000"/>
          <w:sz w:val="22"/>
          <w:szCs w:val="24"/>
        </w:rPr>
        <w:t>rofits</w:t>
      </w:r>
      <w:r w:rsidR="001414E5">
        <w:rPr>
          <w:rFonts w:eastAsiaTheme="minorEastAsia" w:cs="Arial"/>
          <w:color w:val="000000"/>
          <w:sz w:val="22"/>
          <w:szCs w:val="24"/>
        </w:rPr>
        <w:t>.</w:t>
      </w:r>
    </w:p>
    <w:p w:rsidR="005B4B6A" w:rsidRPr="001414E5" w:rsidRDefault="001414E5" w:rsidP="00DF5CD9">
      <w:pPr>
        <w:rPr>
          <w:rFonts w:eastAsiaTheme="minorEastAsia" w:cs="Arial"/>
          <w:color w:val="000000"/>
          <w:sz w:val="22"/>
          <w:szCs w:val="24"/>
        </w:rPr>
      </w:pPr>
      <w:r w:rsidRPr="001414E5">
        <w:rPr>
          <w:rFonts w:eastAsiaTheme="minorEastAsia" w:cs="Arial"/>
          <w:color w:val="000000"/>
          <w:sz w:val="22"/>
          <w:szCs w:val="24"/>
        </w:rPr>
        <w:t>2 :</w:t>
      </w:r>
      <w:r w:rsidR="005B4B6A" w:rsidRPr="001414E5">
        <w:rPr>
          <w:rFonts w:eastAsiaTheme="minorEastAsia" w:cs="Arial"/>
          <w:color w:val="000000"/>
          <w:sz w:val="22"/>
          <w:szCs w:val="24"/>
        </w:rPr>
        <w:t xml:space="preserve"> </w:t>
      </w:r>
      <w:r w:rsidR="002D1034">
        <w:rPr>
          <w:rFonts w:eastAsiaTheme="minorEastAsia" w:cs="Arial"/>
          <w:color w:val="000000"/>
          <w:sz w:val="22"/>
          <w:szCs w:val="24"/>
        </w:rPr>
        <w:t>R</w:t>
      </w:r>
      <w:r w:rsidRPr="001414E5">
        <w:rPr>
          <w:rFonts w:eastAsiaTheme="minorEastAsia" w:cs="Arial"/>
          <w:color w:val="000000"/>
          <w:sz w:val="22"/>
          <w:szCs w:val="24"/>
        </w:rPr>
        <w:t>apport entre le montant total des emprunts et le PIB.</w:t>
      </w:r>
    </w:p>
    <w:p w:rsidR="00DF5CD9" w:rsidRPr="001414E5" w:rsidRDefault="005B4B6A" w:rsidP="00DF5CD9">
      <w:pPr>
        <w:rPr>
          <w:rFonts w:eastAsiaTheme="minorEastAsia" w:cs="Arial"/>
          <w:color w:val="000000"/>
          <w:sz w:val="22"/>
          <w:szCs w:val="24"/>
        </w:rPr>
      </w:pPr>
      <w:r w:rsidRPr="001414E5">
        <w:rPr>
          <w:rFonts w:eastAsiaTheme="minorEastAsia" w:cs="Arial"/>
          <w:color w:val="000000"/>
          <w:sz w:val="22"/>
          <w:szCs w:val="24"/>
        </w:rPr>
        <w:t>3</w:t>
      </w:r>
      <w:r w:rsidR="001414E5">
        <w:rPr>
          <w:rFonts w:eastAsiaTheme="minorEastAsia" w:cs="Arial"/>
          <w:color w:val="000000"/>
          <w:sz w:val="22"/>
          <w:szCs w:val="24"/>
        </w:rPr>
        <w:t xml:space="preserve"> : </w:t>
      </w:r>
      <w:r w:rsidR="002D1034">
        <w:rPr>
          <w:rFonts w:eastAsiaTheme="minorEastAsia" w:cs="Arial"/>
          <w:color w:val="000000"/>
          <w:sz w:val="22"/>
          <w:szCs w:val="24"/>
        </w:rPr>
        <w:t>E</w:t>
      </w:r>
      <w:r w:rsidR="00DF5CD9" w:rsidRPr="001414E5">
        <w:rPr>
          <w:rFonts w:eastAsiaTheme="minorEastAsia" w:cs="Arial"/>
          <w:color w:val="000000"/>
          <w:sz w:val="22"/>
          <w:szCs w:val="24"/>
        </w:rPr>
        <w:t>ntreprises de taille intermédiaire (entre 250 et 4 999 salariés)</w:t>
      </w:r>
      <w:r w:rsidR="001414E5">
        <w:rPr>
          <w:rFonts w:eastAsiaTheme="minorEastAsia" w:cs="Arial"/>
          <w:color w:val="000000"/>
          <w:sz w:val="22"/>
          <w:szCs w:val="24"/>
        </w:rPr>
        <w:t>.</w:t>
      </w:r>
    </w:p>
    <w:p w:rsidR="00DF5CD9" w:rsidRPr="001414E5" w:rsidRDefault="005B4B6A" w:rsidP="00DF5CD9">
      <w:pPr>
        <w:rPr>
          <w:rFonts w:eastAsiaTheme="minorEastAsia" w:cs="Arial"/>
          <w:color w:val="000000"/>
          <w:sz w:val="22"/>
          <w:szCs w:val="24"/>
        </w:rPr>
      </w:pPr>
      <w:r w:rsidRPr="001414E5">
        <w:rPr>
          <w:rFonts w:eastAsiaTheme="minorEastAsia" w:cs="Arial"/>
          <w:color w:val="000000"/>
          <w:sz w:val="22"/>
          <w:szCs w:val="24"/>
        </w:rPr>
        <w:t>4</w:t>
      </w:r>
      <w:r w:rsidR="001414E5">
        <w:rPr>
          <w:rFonts w:eastAsiaTheme="minorEastAsia" w:cs="Arial"/>
          <w:color w:val="000000"/>
          <w:sz w:val="22"/>
          <w:szCs w:val="24"/>
        </w:rPr>
        <w:t xml:space="preserve"> : </w:t>
      </w:r>
      <w:r w:rsidR="002D1034">
        <w:rPr>
          <w:rFonts w:eastAsiaTheme="minorEastAsia" w:cs="Arial"/>
          <w:color w:val="000000"/>
          <w:sz w:val="22"/>
          <w:szCs w:val="24"/>
        </w:rPr>
        <w:t>P</w:t>
      </w:r>
      <w:r w:rsidR="00DF5CD9" w:rsidRPr="001414E5">
        <w:rPr>
          <w:rFonts w:eastAsiaTheme="minorEastAsia" w:cs="Arial"/>
          <w:color w:val="000000"/>
          <w:sz w:val="22"/>
          <w:szCs w:val="24"/>
        </w:rPr>
        <w:t>etites et moyennes industries (entre 10 et 250 salariés)</w:t>
      </w:r>
      <w:r w:rsidR="001414E5">
        <w:rPr>
          <w:rFonts w:eastAsiaTheme="minorEastAsia" w:cs="Arial"/>
          <w:color w:val="000000"/>
          <w:sz w:val="22"/>
          <w:szCs w:val="24"/>
        </w:rPr>
        <w:t>.</w:t>
      </w:r>
    </w:p>
    <w:p w:rsidR="005B4B6A" w:rsidRPr="001414E5" w:rsidRDefault="005B4B6A" w:rsidP="00DF5CD9">
      <w:pPr>
        <w:rPr>
          <w:rFonts w:eastAsiaTheme="minorEastAsia" w:cs="Arial"/>
          <w:color w:val="000000"/>
          <w:sz w:val="22"/>
          <w:szCs w:val="24"/>
        </w:rPr>
      </w:pPr>
      <w:r w:rsidRPr="001414E5">
        <w:rPr>
          <w:rFonts w:eastAsiaTheme="minorEastAsia" w:cs="Arial"/>
          <w:color w:val="000000"/>
          <w:sz w:val="22"/>
          <w:szCs w:val="24"/>
        </w:rPr>
        <w:t>5</w:t>
      </w:r>
      <w:r w:rsidR="002D1034">
        <w:rPr>
          <w:rFonts w:eastAsiaTheme="minorEastAsia" w:cs="Arial"/>
          <w:color w:val="000000"/>
          <w:sz w:val="22"/>
          <w:szCs w:val="24"/>
        </w:rPr>
        <w:t> : P</w:t>
      </w:r>
      <w:r w:rsidR="001414E5">
        <w:rPr>
          <w:rFonts w:eastAsiaTheme="minorEastAsia" w:cs="Arial"/>
          <w:color w:val="000000"/>
          <w:sz w:val="22"/>
          <w:szCs w:val="24"/>
        </w:rPr>
        <w:t>ar émission d’obligations.</w:t>
      </w:r>
    </w:p>
    <w:p w:rsidR="005B4B6A" w:rsidRPr="001414E5" w:rsidRDefault="005B4B6A" w:rsidP="00DF5CD9">
      <w:pPr>
        <w:rPr>
          <w:rFonts w:eastAsiaTheme="minorEastAsia" w:cs="Arial"/>
          <w:color w:val="000000"/>
          <w:sz w:val="22"/>
          <w:szCs w:val="24"/>
        </w:rPr>
      </w:pPr>
      <w:r w:rsidRPr="001414E5">
        <w:rPr>
          <w:rFonts w:eastAsiaTheme="minorEastAsia" w:cs="Arial"/>
          <w:color w:val="000000"/>
          <w:sz w:val="22"/>
          <w:szCs w:val="24"/>
        </w:rPr>
        <w:t>6</w:t>
      </w:r>
      <w:r w:rsidR="001414E5">
        <w:rPr>
          <w:rFonts w:eastAsiaTheme="minorEastAsia" w:cs="Arial"/>
          <w:color w:val="000000"/>
          <w:sz w:val="22"/>
          <w:szCs w:val="24"/>
        </w:rPr>
        <w:t xml:space="preserve"> : </w:t>
      </w:r>
      <w:r w:rsidR="002D1034">
        <w:rPr>
          <w:rFonts w:eastAsiaTheme="minorEastAsia" w:cs="Arial"/>
          <w:color w:val="000000"/>
          <w:sz w:val="22"/>
          <w:szCs w:val="24"/>
        </w:rPr>
        <w:t>S</w:t>
      </w:r>
      <w:r w:rsidRPr="001414E5">
        <w:rPr>
          <w:rFonts w:eastAsiaTheme="minorEastAsia" w:cs="Arial"/>
          <w:color w:val="000000"/>
          <w:sz w:val="22"/>
          <w:szCs w:val="24"/>
        </w:rPr>
        <w:t>upérieur à deux ans</w:t>
      </w:r>
      <w:r w:rsidR="001414E5">
        <w:rPr>
          <w:rFonts w:eastAsiaTheme="minorEastAsia" w:cs="Arial"/>
          <w:color w:val="000000"/>
          <w:sz w:val="22"/>
          <w:szCs w:val="24"/>
        </w:rPr>
        <w:t>.</w:t>
      </w:r>
      <w:bookmarkStart w:id="0" w:name="_GoBack"/>
      <w:bookmarkEnd w:id="0"/>
    </w:p>
    <w:p w:rsidR="005B4B6A" w:rsidRPr="00DD7482" w:rsidRDefault="005B4B6A" w:rsidP="00DF5CD9">
      <w:pPr>
        <w:rPr>
          <w:rFonts w:cs="Arial"/>
          <w:sz w:val="22"/>
        </w:rPr>
      </w:pPr>
    </w:p>
    <w:p w:rsidR="00FA1ABF" w:rsidRDefault="00FA1ABF" w:rsidP="00FA1ABF">
      <w:pPr>
        <w:jc w:val="both"/>
        <w:rPr>
          <w:rFonts w:cs="Arial"/>
          <w:lang w:eastAsia="en-US"/>
        </w:rPr>
      </w:pPr>
    </w:p>
    <w:p w:rsidR="00FA1ABF" w:rsidRPr="007A0DE4" w:rsidRDefault="00FA1ABF" w:rsidP="00FA1ABF">
      <w:pPr>
        <w:jc w:val="both"/>
        <w:rPr>
          <w:rFonts w:cs="Arial"/>
          <w:lang w:eastAsia="en-US"/>
        </w:rPr>
      </w:pPr>
    </w:p>
    <w:p w:rsidR="008B3D51" w:rsidRDefault="008B3D51" w:rsidP="008B3D51">
      <w:pPr>
        <w:rPr>
          <w:rFonts w:cs="Arial"/>
          <w:b/>
          <w:sz w:val="24"/>
        </w:rPr>
      </w:pPr>
      <w:r>
        <w:rPr>
          <w:rFonts w:cs="Arial"/>
          <w:b/>
          <w:sz w:val="24"/>
        </w:rPr>
        <w:t xml:space="preserve">DOCUMENT </w:t>
      </w:r>
      <w:r w:rsidR="00DF5CD9">
        <w:rPr>
          <w:rFonts w:cs="Arial"/>
          <w:b/>
          <w:sz w:val="24"/>
        </w:rPr>
        <w:t>3</w:t>
      </w:r>
    </w:p>
    <w:p w:rsidR="00DF5CD9" w:rsidRDefault="00DF5CD9" w:rsidP="008B3D51">
      <w:pPr>
        <w:rPr>
          <w:rFonts w:cs="Arial"/>
          <w:b/>
          <w:sz w:val="24"/>
        </w:rPr>
      </w:pPr>
    </w:p>
    <w:p w:rsidR="003A4695" w:rsidRPr="00DF5CD9" w:rsidRDefault="003A4695" w:rsidP="00DF5CD9">
      <w:pPr>
        <w:jc w:val="center"/>
        <w:rPr>
          <w:rFonts w:cs="Arial"/>
          <w:b/>
          <w:sz w:val="22"/>
          <w:lang w:eastAsia="en-US"/>
        </w:rPr>
      </w:pPr>
      <w:r w:rsidRPr="00DF5CD9">
        <w:rPr>
          <w:rFonts w:cs="Arial"/>
          <w:b/>
          <w:sz w:val="22"/>
          <w:lang w:eastAsia="en-US"/>
        </w:rPr>
        <w:t xml:space="preserve">Part des dettes bancaires dans </w:t>
      </w:r>
      <w:r w:rsidRPr="00B043FA">
        <w:rPr>
          <w:rFonts w:cs="Arial"/>
          <w:b/>
          <w:sz w:val="24"/>
          <w:lang w:eastAsia="en-US"/>
        </w:rPr>
        <w:t>l’endettement</w:t>
      </w:r>
      <w:r w:rsidRPr="00DF5CD9">
        <w:rPr>
          <w:rFonts w:cs="Arial"/>
          <w:b/>
          <w:sz w:val="22"/>
          <w:lang w:eastAsia="en-US"/>
        </w:rPr>
        <w:t xml:space="preserve"> total des entreprises françaises</w:t>
      </w:r>
    </w:p>
    <w:p w:rsidR="003A4695" w:rsidRPr="007A0DE4" w:rsidRDefault="00B043FA" w:rsidP="003A4695">
      <w:pPr>
        <w:jc w:val="both"/>
        <w:rPr>
          <w:rFonts w:cs="Arial"/>
          <w:lang w:eastAsia="en-US"/>
        </w:rPr>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-31115</wp:posOffset>
                </wp:positionH>
                <wp:positionV relativeFrom="paragraph">
                  <wp:posOffset>76200</wp:posOffset>
                </wp:positionV>
                <wp:extent cx="5156200" cy="355600"/>
                <wp:effectExtent l="0" t="0" r="6350" b="6350"/>
                <wp:wrapNone/>
                <wp:docPr id="10" name="Rectangle 10"/>
                <wp:cNvGraphicFramePr/>
                <a:graphic xmlns:a="http://schemas.openxmlformats.org/drawingml/2006/main">
                  <a:graphicData uri="http://schemas.microsoft.com/office/word/2010/wordprocessingShape">
                    <wps:wsp>
                      <wps:cNvSpPr/>
                      <wps:spPr>
                        <a:xfrm>
                          <a:off x="0" y="0"/>
                          <a:ext cx="5156200" cy="355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2.45pt;margin-top:6pt;width:406pt;height: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1CkgIAAIYFAAAOAAAAZHJzL2Uyb0RvYy54bWysVMFu2zAMvQ/YPwi6r46zpNuCOkWQosOA&#10;oi3aDj0rshQLkEVNUuJkXz9Ksp2uK3YYloNDieQj+UTy4vLQarIXziswFS3PJpQIw6FWZlvR70/X&#10;Hz5T4gMzNdNgREWPwtPL5ft3F51diCk0oGvhCIIYv+hsRZsQ7KIoPG9Ey/wZWGFQKcG1LODRbYva&#10;sQ7RW11MJ5PzogNXWwdceI+3V1lJlwlfSsHDnZReBKIrirmF9HXpu4nfYnnBFlvHbKN4nwb7hyxa&#10;pgwGHaGuWGBk59QfUK3iDjzIcMahLUBKxUWqAaspJ6+qeWyYFakWJMfbkSb//2D57f7eEVXj2yE9&#10;hrX4Rg/IGjNbLQjeIUGd9Qu0e7T3rj95FGO1B+na+I91kEMi9TiSKg6BcLycl/NzfClKOOo+zufn&#10;KCNMcfK2zoevAloShYo6DJ+4ZPsbH7LpYBKDedCqvlZap0NsFLHWjuwZPvFmW/bgv1lpE20NRK8M&#10;GG+KWFguJUnhqEW00+ZBSOQEk5+mRFI3noIwzoUJZVY1rBY59nyCvyH6kFYqNAFGZInxR+weYLDM&#10;IAN2zrK3j64iNfPoPPlbYtl59EiRwYTRuVUG3FsAGqvqI2f7gaRMTWRpA/URO8ZBHiVv+bXCZ7th&#10;Ptwzh7ODL437INzhR2roKgq9REkD7udb99EeWxq1lHQ4ixX1P3bMCUr0N4PN/qWczeLwpsNs/mmK&#10;B/dSs3mpMbt2DdgLJW4ey5MY7YMeROmgfca1sYpRUcUMx9gV5cENh3XIOwIXDxerVTLDgbUs3JhH&#10;yyN4ZDW25dPhmTnb927Arr+FYW7Z4lULZ9voaWC1CyBV6u8Trz3fOOypcfrFFLfJy3OyOq3P5S8A&#10;AAD//wMAUEsDBBQABgAIAAAAIQDTUEJh3gAAAAgBAAAPAAAAZHJzL2Rvd25yZXYueG1sTI/BTsMw&#10;EETvSPyDtUjcWruFNiHEqRCCinKjEM5uvCQR8TrEThv+nuUEx50Zzb7JN5PrxBGH0HrSsJgrEEiV&#10;ty3VGt5eH2cpiBANWdN5Qg3fGGBTnJ/lJrP+RC943MdacAmFzGhoYuwzKUPVoDNh7nsk9j784Ezk&#10;c6ilHcyJy10nl0qtpTMt8YfG9HjfYPW5H52GcZXsHqb3r+1VqcrkuexWT3Hba315Md3dgog4xb8w&#10;/OIzOhTMdPAj2SA6DbPrG06yvuRJ7KcqWYA4aFinCmSRy/8Dih8AAAD//wMAUEsBAi0AFAAGAAgA&#10;AAAhALaDOJL+AAAA4QEAABMAAAAAAAAAAAAAAAAAAAAAAFtDb250ZW50X1R5cGVzXS54bWxQSwEC&#10;LQAUAAYACAAAACEAOP0h/9YAAACUAQAACwAAAAAAAAAAAAAAAAAvAQAAX3JlbHMvLnJlbHNQSwEC&#10;LQAUAAYACAAAACEAEiEtQpICAACGBQAADgAAAAAAAAAAAAAAAAAuAgAAZHJzL2Uyb0RvYy54bWxQ&#10;SwECLQAUAAYACAAAACEA01BCYd4AAAAIAQAADwAAAAAAAAAAAAAAAADsBAAAZHJzL2Rvd25yZXYu&#10;eG1sUEsFBgAAAAAEAAQA8wAAAPcFAAAAAA==&#10;" fillcolor="white [3212]" stroked="f" strokeweight="2pt"/>
            </w:pict>
          </mc:Fallback>
        </mc:AlternateContent>
      </w:r>
    </w:p>
    <w:p w:rsidR="003A4695" w:rsidRDefault="003A4695" w:rsidP="00B043FA">
      <w:pPr>
        <w:jc w:val="center"/>
        <w:rPr>
          <w:rFonts w:cs="Arial"/>
        </w:rPr>
      </w:pPr>
      <w:r w:rsidRPr="007A0DE4">
        <w:rPr>
          <w:rFonts w:cs="Arial"/>
          <w:noProof/>
        </w:rPr>
        <w:drawing>
          <wp:inline distT="0" distB="0" distL="0" distR="0" wp14:anchorId="6F85CB36" wp14:editId="7AD1BE3D">
            <wp:extent cx="4511040" cy="3395102"/>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22765" cy="3403926"/>
                    </a:xfrm>
                    <a:prstGeom prst="rect">
                      <a:avLst/>
                    </a:prstGeom>
                  </pic:spPr>
                </pic:pic>
              </a:graphicData>
            </a:graphic>
          </wp:inline>
        </w:drawing>
      </w:r>
    </w:p>
    <w:p w:rsidR="00B043FA" w:rsidRPr="007A0DE4" w:rsidRDefault="00B043FA" w:rsidP="003A4695">
      <w:pPr>
        <w:jc w:val="both"/>
        <w:rPr>
          <w:rFonts w:cs="Arial"/>
        </w:rPr>
      </w:pPr>
    </w:p>
    <w:p w:rsidR="00DD7482" w:rsidRDefault="00B043FA" w:rsidP="00B043FA">
      <w:pPr>
        <w:jc w:val="right"/>
        <w:rPr>
          <w:sz w:val="22"/>
        </w:rPr>
      </w:pPr>
      <w:r w:rsidRPr="00B043FA">
        <w:rPr>
          <w:sz w:val="22"/>
        </w:rPr>
        <w:t>Source : Note d’information de la Banque</w:t>
      </w:r>
      <w:r>
        <w:rPr>
          <w:sz w:val="22"/>
        </w:rPr>
        <w:t xml:space="preserve"> </w:t>
      </w:r>
      <w:r w:rsidRPr="00B043FA">
        <w:rPr>
          <w:sz w:val="22"/>
        </w:rPr>
        <w:t>de France, octobre 2015</w:t>
      </w:r>
      <w:r w:rsidR="00C9221B">
        <w:rPr>
          <w:sz w:val="22"/>
        </w:rPr>
        <w:t>.</w:t>
      </w:r>
    </w:p>
    <w:p w:rsidR="00B043FA" w:rsidRDefault="00B043FA" w:rsidP="00B043FA">
      <w:pPr>
        <w:jc w:val="right"/>
        <w:rPr>
          <w:sz w:val="22"/>
        </w:rPr>
      </w:pPr>
    </w:p>
    <w:p w:rsidR="00B043FA" w:rsidRDefault="00B043FA" w:rsidP="00B043FA">
      <w:pPr>
        <w:rPr>
          <w:sz w:val="22"/>
        </w:rPr>
      </w:pPr>
      <w:r>
        <w:rPr>
          <w:sz w:val="22"/>
        </w:rPr>
        <w:t>PME : Petites et moyennes entreprises (moins de 250 salariés)</w:t>
      </w:r>
      <w:r w:rsidR="001414E5">
        <w:rPr>
          <w:sz w:val="22"/>
        </w:rPr>
        <w:t>.</w:t>
      </w:r>
    </w:p>
    <w:p w:rsidR="00B043FA" w:rsidRPr="00DD7482" w:rsidRDefault="00B043FA" w:rsidP="00B043FA">
      <w:pPr>
        <w:rPr>
          <w:rFonts w:cs="Arial"/>
          <w:sz w:val="22"/>
        </w:rPr>
      </w:pPr>
      <w:r>
        <w:rPr>
          <w:sz w:val="22"/>
        </w:rPr>
        <w:t xml:space="preserve">ETI : </w:t>
      </w:r>
      <w:r>
        <w:rPr>
          <w:rFonts w:cs="Arial"/>
          <w:sz w:val="22"/>
        </w:rPr>
        <w:t>Entreprises de tail</w:t>
      </w:r>
      <w:r w:rsidRPr="00DD7482">
        <w:rPr>
          <w:rFonts w:cs="Arial"/>
          <w:sz w:val="22"/>
        </w:rPr>
        <w:t>l</w:t>
      </w:r>
      <w:r>
        <w:rPr>
          <w:rFonts w:cs="Arial"/>
          <w:sz w:val="22"/>
        </w:rPr>
        <w:t>e</w:t>
      </w:r>
      <w:r w:rsidRPr="00DD7482">
        <w:rPr>
          <w:rFonts w:cs="Arial"/>
          <w:sz w:val="22"/>
        </w:rPr>
        <w:t xml:space="preserve"> intermédiaire</w:t>
      </w:r>
      <w:r>
        <w:rPr>
          <w:rFonts w:cs="Arial"/>
          <w:sz w:val="22"/>
        </w:rPr>
        <w:t xml:space="preserve"> (</w:t>
      </w:r>
      <w:r w:rsidRPr="00DF5CD9">
        <w:rPr>
          <w:rFonts w:cs="Arial"/>
          <w:sz w:val="22"/>
        </w:rPr>
        <w:t>entre 250 et 4 999 salariés)</w:t>
      </w:r>
      <w:r w:rsidR="001414E5">
        <w:rPr>
          <w:rFonts w:cs="Arial"/>
          <w:sz w:val="22"/>
        </w:rPr>
        <w:t>.</w:t>
      </w:r>
    </w:p>
    <w:p w:rsidR="00DD7482" w:rsidRPr="00DD7482" w:rsidRDefault="00B043FA">
      <w:pPr>
        <w:rPr>
          <w:rFonts w:cs="Arial"/>
          <w:sz w:val="22"/>
        </w:rPr>
      </w:pPr>
      <w:r>
        <w:rPr>
          <w:sz w:val="22"/>
        </w:rPr>
        <w:t>GE : Grandes entreprises (plus de 5 000 salariés)</w:t>
      </w:r>
      <w:r w:rsidR="001414E5">
        <w:rPr>
          <w:sz w:val="22"/>
        </w:rPr>
        <w:t>.</w:t>
      </w:r>
    </w:p>
    <w:sectPr w:rsidR="00DD7482" w:rsidRPr="00DD7482" w:rsidSect="008208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13F"/>
    <w:multiLevelType w:val="hybridMultilevel"/>
    <w:tmpl w:val="A95481F2"/>
    <w:lvl w:ilvl="0" w:tplc="DF30D97A">
      <w:numFmt w:val="bullet"/>
      <w:lvlText w:val=""/>
      <w:lvlJc w:val="left"/>
      <w:pPr>
        <w:ind w:left="720" w:hanging="360"/>
      </w:pPr>
      <w:rPr>
        <w:rFonts w:ascii="Symbol" w:eastAsia="MS Mincho"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3D7B99"/>
    <w:multiLevelType w:val="hybridMultilevel"/>
    <w:tmpl w:val="82987108"/>
    <w:lvl w:ilvl="0" w:tplc="F1F4C27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06A1E60"/>
    <w:multiLevelType w:val="hybridMultilevel"/>
    <w:tmpl w:val="FEB644A6"/>
    <w:lvl w:ilvl="0" w:tplc="20282446">
      <w:numFmt w:val="bullet"/>
      <w:lvlText w:val=""/>
      <w:lvlJc w:val="left"/>
      <w:pPr>
        <w:ind w:left="720" w:hanging="360"/>
      </w:pPr>
      <w:rPr>
        <w:rFonts w:ascii="Symbol" w:eastAsia="MS Mincho"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327736"/>
    <w:multiLevelType w:val="hybridMultilevel"/>
    <w:tmpl w:val="46EC2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0C"/>
    <w:rsid w:val="000000C8"/>
    <w:rsid w:val="000313A6"/>
    <w:rsid w:val="000325C2"/>
    <w:rsid w:val="000540E5"/>
    <w:rsid w:val="0006019A"/>
    <w:rsid w:val="0007271A"/>
    <w:rsid w:val="00083C8D"/>
    <w:rsid w:val="000A363A"/>
    <w:rsid w:val="000E515A"/>
    <w:rsid w:val="000E5991"/>
    <w:rsid w:val="0012208A"/>
    <w:rsid w:val="001414E5"/>
    <w:rsid w:val="001464B3"/>
    <w:rsid w:val="001F319A"/>
    <w:rsid w:val="00222FB3"/>
    <w:rsid w:val="00223E91"/>
    <w:rsid w:val="00227CFC"/>
    <w:rsid w:val="0024556F"/>
    <w:rsid w:val="002A6FC7"/>
    <w:rsid w:val="002D1034"/>
    <w:rsid w:val="002F415B"/>
    <w:rsid w:val="00393277"/>
    <w:rsid w:val="003A3F6D"/>
    <w:rsid w:val="003A4695"/>
    <w:rsid w:val="003B1752"/>
    <w:rsid w:val="003B4C92"/>
    <w:rsid w:val="003E3B54"/>
    <w:rsid w:val="00455CB8"/>
    <w:rsid w:val="004D5578"/>
    <w:rsid w:val="005164A6"/>
    <w:rsid w:val="005449BA"/>
    <w:rsid w:val="0057183B"/>
    <w:rsid w:val="00581192"/>
    <w:rsid w:val="005B4B6A"/>
    <w:rsid w:val="005C019B"/>
    <w:rsid w:val="0060464D"/>
    <w:rsid w:val="00621C27"/>
    <w:rsid w:val="00660FD0"/>
    <w:rsid w:val="006B0BF4"/>
    <w:rsid w:val="006F0CD1"/>
    <w:rsid w:val="006F1B7C"/>
    <w:rsid w:val="007704B2"/>
    <w:rsid w:val="007A0081"/>
    <w:rsid w:val="007C7EDE"/>
    <w:rsid w:val="0082082F"/>
    <w:rsid w:val="00833CCB"/>
    <w:rsid w:val="008840C4"/>
    <w:rsid w:val="00892BE2"/>
    <w:rsid w:val="008B3D51"/>
    <w:rsid w:val="009F2798"/>
    <w:rsid w:val="009F3F07"/>
    <w:rsid w:val="00A7120C"/>
    <w:rsid w:val="00AA4AE2"/>
    <w:rsid w:val="00B043FA"/>
    <w:rsid w:val="00B23505"/>
    <w:rsid w:val="00B41F12"/>
    <w:rsid w:val="00B973D1"/>
    <w:rsid w:val="00BB6434"/>
    <w:rsid w:val="00BE51F9"/>
    <w:rsid w:val="00C017AD"/>
    <w:rsid w:val="00C164D8"/>
    <w:rsid w:val="00C341EA"/>
    <w:rsid w:val="00C562B7"/>
    <w:rsid w:val="00C775D0"/>
    <w:rsid w:val="00C918AF"/>
    <w:rsid w:val="00C9221B"/>
    <w:rsid w:val="00CD6613"/>
    <w:rsid w:val="00D25E3B"/>
    <w:rsid w:val="00D31EB1"/>
    <w:rsid w:val="00D40279"/>
    <w:rsid w:val="00D45D58"/>
    <w:rsid w:val="00D70DA0"/>
    <w:rsid w:val="00D960CE"/>
    <w:rsid w:val="00DA7DBB"/>
    <w:rsid w:val="00DD7482"/>
    <w:rsid w:val="00DF5CD9"/>
    <w:rsid w:val="00E51BA4"/>
    <w:rsid w:val="00E52A55"/>
    <w:rsid w:val="00E53FA0"/>
    <w:rsid w:val="00E9175E"/>
    <w:rsid w:val="00E9446E"/>
    <w:rsid w:val="00E953EC"/>
    <w:rsid w:val="00EB22D8"/>
    <w:rsid w:val="00ED5536"/>
    <w:rsid w:val="00F21F89"/>
    <w:rsid w:val="00FA1ABF"/>
    <w:rsid w:val="00FA4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7120C"/>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etitcar">
    <w:name w:val="corpetitcar"/>
    <w:uiPriority w:val="99"/>
    <w:rsid w:val="00A7120C"/>
    <w:rPr>
      <w:rFonts w:cs="Times New Roman"/>
    </w:rPr>
  </w:style>
  <w:style w:type="paragraph" w:customStyle="1" w:styleId="Corps">
    <w:name w:val="Corps"/>
    <w:uiPriority w:val="99"/>
    <w:rsid w:val="00A7120C"/>
    <w:rPr>
      <w:rFonts w:ascii="Helvetica" w:eastAsia="Calibri" w:hAnsi="Helvetica"/>
      <w:color w:val="000000"/>
      <w:sz w:val="24"/>
    </w:rPr>
  </w:style>
  <w:style w:type="paragraph" w:styleId="NormalWeb">
    <w:name w:val="Normal (Web)"/>
    <w:basedOn w:val="Normal"/>
    <w:uiPriority w:val="99"/>
    <w:unhideWhenUsed/>
    <w:rsid w:val="00455CB8"/>
    <w:pPr>
      <w:spacing w:before="100" w:beforeAutospacing="1" w:after="100" w:afterAutospacing="1"/>
    </w:pPr>
    <w:rPr>
      <w:rFonts w:ascii="Times New Roman" w:eastAsia="Times New Roman" w:hAnsi="Times New Roman"/>
      <w:sz w:val="24"/>
      <w:szCs w:val="24"/>
    </w:rPr>
  </w:style>
  <w:style w:type="character" w:customStyle="1" w:styleId="entetetableau">
    <w:name w:val="entetetableau"/>
    <w:rsid w:val="00455CB8"/>
  </w:style>
  <w:style w:type="paragraph" w:customStyle="1" w:styleId="entetetableau1">
    <w:name w:val="entetetableau1"/>
    <w:basedOn w:val="Normal"/>
    <w:rsid w:val="00455CB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455CB8"/>
  </w:style>
  <w:style w:type="character" w:styleId="Lienhypertexte">
    <w:name w:val="Hyperlink"/>
    <w:uiPriority w:val="99"/>
    <w:unhideWhenUsed/>
    <w:rsid w:val="007A0081"/>
    <w:rPr>
      <w:color w:val="0000FF"/>
      <w:u w:val="single"/>
    </w:rPr>
  </w:style>
  <w:style w:type="paragraph" w:customStyle="1" w:styleId="Doc">
    <w:name w:val="Doc"/>
    <w:basedOn w:val="Normal"/>
    <w:rsid w:val="00DA7DBB"/>
    <w:pPr>
      <w:tabs>
        <w:tab w:val="left" w:pos="284"/>
        <w:tab w:val="left" w:pos="397"/>
        <w:tab w:val="left" w:pos="624"/>
        <w:tab w:val="left" w:pos="737"/>
        <w:tab w:val="left" w:pos="851"/>
        <w:tab w:val="left" w:pos="1134"/>
      </w:tabs>
    </w:pPr>
    <w:rPr>
      <w:rFonts w:ascii="Comic Sans MS" w:eastAsia="Times New Roman" w:hAnsi="Comic Sans MS"/>
    </w:rPr>
  </w:style>
  <w:style w:type="paragraph" w:styleId="Sansinterligne">
    <w:name w:val="No Spacing"/>
    <w:uiPriority w:val="1"/>
    <w:qFormat/>
    <w:rsid w:val="00DA7DBB"/>
    <w:rPr>
      <w:rFonts w:eastAsia="Calibri"/>
      <w:sz w:val="22"/>
      <w:szCs w:val="22"/>
      <w:lang w:eastAsia="en-US"/>
    </w:rPr>
  </w:style>
  <w:style w:type="table" w:styleId="Grilledutableau">
    <w:name w:val="Table Grid"/>
    <w:basedOn w:val="TableauNormal"/>
    <w:uiPriority w:val="59"/>
    <w:rsid w:val="00D40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rmaltext">
    <w:name w:val="paranormaltext"/>
    <w:basedOn w:val="Normal"/>
    <w:rsid w:val="00621C27"/>
    <w:pPr>
      <w:spacing w:before="100" w:beforeAutospacing="1" w:after="100" w:afterAutospacing="1"/>
    </w:pPr>
    <w:rPr>
      <w:rFonts w:ascii="Times New Roman" w:eastAsia="Times New Roman" w:hAnsi="Times New Roman"/>
      <w:sz w:val="24"/>
      <w:szCs w:val="24"/>
    </w:rPr>
  </w:style>
  <w:style w:type="paragraph" w:customStyle="1" w:styleId="kickertext">
    <w:name w:val="kickertext"/>
    <w:basedOn w:val="Normal"/>
    <w:rsid w:val="00621C27"/>
    <w:pPr>
      <w:spacing w:before="100" w:beforeAutospacing="1" w:after="100" w:afterAutospacing="1"/>
    </w:pPr>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FA1ABF"/>
    <w:rPr>
      <w:rFonts w:ascii="Tahoma" w:hAnsi="Tahoma" w:cs="Tahoma"/>
      <w:sz w:val="16"/>
      <w:szCs w:val="16"/>
    </w:rPr>
  </w:style>
  <w:style w:type="character" w:customStyle="1" w:styleId="TextedebullesCar">
    <w:name w:val="Texte de bulles Car"/>
    <w:basedOn w:val="Policepardfaut"/>
    <w:link w:val="Textedebulles"/>
    <w:uiPriority w:val="99"/>
    <w:semiHidden/>
    <w:rsid w:val="00FA1ABF"/>
    <w:rPr>
      <w:rFonts w:ascii="Tahoma" w:hAnsi="Tahoma" w:cs="Tahoma"/>
      <w:sz w:val="16"/>
      <w:szCs w:val="16"/>
    </w:rPr>
  </w:style>
  <w:style w:type="paragraph" w:customStyle="1" w:styleId="Default">
    <w:name w:val="Default"/>
    <w:rsid w:val="008B3D51"/>
    <w:pPr>
      <w:autoSpaceDE w:val="0"/>
      <w:autoSpaceDN w:val="0"/>
      <w:adjustRightInd w:val="0"/>
    </w:pPr>
    <w:rPr>
      <w:rFonts w:eastAsiaTheme="minorEastAsia" w:cs="Calibri"/>
      <w:color w:val="000000"/>
      <w:sz w:val="24"/>
      <w:szCs w:val="24"/>
    </w:rPr>
  </w:style>
  <w:style w:type="paragraph" w:styleId="PrformatHTML">
    <w:name w:val="HTML Preformatted"/>
    <w:basedOn w:val="Normal"/>
    <w:link w:val="PrformatHTMLCar"/>
    <w:uiPriority w:val="99"/>
    <w:semiHidden/>
    <w:unhideWhenUsed/>
    <w:rsid w:val="00C77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HTMLCar">
    <w:name w:val="Préformaté HTML Car"/>
    <w:basedOn w:val="Policepardfaut"/>
    <w:link w:val="PrformatHTML"/>
    <w:uiPriority w:val="99"/>
    <w:semiHidden/>
    <w:rsid w:val="00C775D0"/>
    <w:rPr>
      <w:rFonts w:ascii="Courier New" w:eastAsia="Times New Roman" w:hAnsi="Courier New" w:cs="Courier New"/>
    </w:rPr>
  </w:style>
  <w:style w:type="paragraph" w:styleId="Paragraphedeliste">
    <w:name w:val="List Paragraph"/>
    <w:basedOn w:val="Normal"/>
    <w:uiPriority w:val="72"/>
    <w:qFormat/>
    <w:rsid w:val="00DF5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7120C"/>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etitcar">
    <w:name w:val="corpetitcar"/>
    <w:uiPriority w:val="99"/>
    <w:rsid w:val="00A7120C"/>
    <w:rPr>
      <w:rFonts w:cs="Times New Roman"/>
    </w:rPr>
  </w:style>
  <w:style w:type="paragraph" w:customStyle="1" w:styleId="Corps">
    <w:name w:val="Corps"/>
    <w:uiPriority w:val="99"/>
    <w:rsid w:val="00A7120C"/>
    <w:rPr>
      <w:rFonts w:ascii="Helvetica" w:eastAsia="Calibri" w:hAnsi="Helvetica"/>
      <w:color w:val="000000"/>
      <w:sz w:val="24"/>
    </w:rPr>
  </w:style>
  <w:style w:type="paragraph" w:styleId="NormalWeb">
    <w:name w:val="Normal (Web)"/>
    <w:basedOn w:val="Normal"/>
    <w:uiPriority w:val="99"/>
    <w:unhideWhenUsed/>
    <w:rsid w:val="00455CB8"/>
    <w:pPr>
      <w:spacing w:before="100" w:beforeAutospacing="1" w:after="100" w:afterAutospacing="1"/>
    </w:pPr>
    <w:rPr>
      <w:rFonts w:ascii="Times New Roman" w:eastAsia="Times New Roman" w:hAnsi="Times New Roman"/>
      <w:sz w:val="24"/>
      <w:szCs w:val="24"/>
    </w:rPr>
  </w:style>
  <w:style w:type="character" w:customStyle="1" w:styleId="entetetableau">
    <w:name w:val="entetetableau"/>
    <w:rsid w:val="00455CB8"/>
  </w:style>
  <w:style w:type="paragraph" w:customStyle="1" w:styleId="entetetableau1">
    <w:name w:val="entetetableau1"/>
    <w:basedOn w:val="Normal"/>
    <w:rsid w:val="00455CB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455CB8"/>
  </w:style>
  <w:style w:type="character" w:styleId="Lienhypertexte">
    <w:name w:val="Hyperlink"/>
    <w:uiPriority w:val="99"/>
    <w:unhideWhenUsed/>
    <w:rsid w:val="007A0081"/>
    <w:rPr>
      <w:color w:val="0000FF"/>
      <w:u w:val="single"/>
    </w:rPr>
  </w:style>
  <w:style w:type="paragraph" w:customStyle="1" w:styleId="Doc">
    <w:name w:val="Doc"/>
    <w:basedOn w:val="Normal"/>
    <w:rsid w:val="00DA7DBB"/>
    <w:pPr>
      <w:tabs>
        <w:tab w:val="left" w:pos="284"/>
        <w:tab w:val="left" w:pos="397"/>
        <w:tab w:val="left" w:pos="624"/>
        <w:tab w:val="left" w:pos="737"/>
        <w:tab w:val="left" w:pos="851"/>
        <w:tab w:val="left" w:pos="1134"/>
      </w:tabs>
    </w:pPr>
    <w:rPr>
      <w:rFonts w:ascii="Comic Sans MS" w:eastAsia="Times New Roman" w:hAnsi="Comic Sans MS"/>
    </w:rPr>
  </w:style>
  <w:style w:type="paragraph" w:styleId="Sansinterligne">
    <w:name w:val="No Spacing"/>
    <w:uiPriority w:val="1"/>
    <w:qFormat/>
    <w:rsid w:val="00DA7DBB"/>
    <w:rPr>
      <w:rFonts w:eastAsia="Calibri"/>
      <w:sz w:val="22"/>
      <w:szCs w:val="22"/>
      <w:lang w:eastAsia="en-US"/>
    </w:rPr>
  </w:style>
  <w:style w:type="table" w:styleId="Grilledutableau">
    <w:name w:val="Table Grid"/>
    <w:basedOn w:val="TableauNormal"/>
    <w:uiPriority w:val="59"/>
    <w:rsid w:val="00D40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rmaltext">
    <w:name w:val="paranormaltext"/>
    <w:basedOn w:val="Normal"/>
    <w:rsid w:val="00621C27"/>
    <w:pPr>
      <w:spacing w:before="100" w:beforeAutospacing="1" w:after="100" w:afterAutospacing="1"/>
    </w:pPr>
    <w:rPr>
      <w:rFonts w:ascii="Times New Roman" w:eastAsia="Times New Roman" w:hAnsi="Times New Roman"/>
      <w:sz w:val="24"/>
      <w:szCs w:val="24"/>
    </w:rPr>
  </w:style>
  <w:style w:type="paragraph" w:customStyle="1" w:styleId="kickertext">
    <w:name w:val="kickertext"/>
    <w:basedOn w:val="Normal"/>
    <w:rsid w:val="00621C27"/>
    <w:pPr>
      <w:spacing w:before="100" w:beforeAutospacing="1" w:after="100" w:afterAutospacing="1"/>
    </w:pPr>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FA1ABF"/>
    <w:rPr>
      <w:rFonts w:ascii="Tahoma" w:hAnsi="Tahoma" w:cs="Tahoma"/>
      <w:sz w:val="16"/>
      <w:szCs w:val="16"/>
    </w:rPr>
  </w:style>
  <w:style w:type="character" w:customStyle="1" w:styleId="TextedebullesCar">
    <w:name w:val="Texte de bulles Car"/>
    <w:basedOn w:val="Policepardfaut"/>
    <w:link w:val="Textedebulles"/>
    <w:uiPriority w:val="99"/>
    <w:semiHidden/>
    <w:rsid w:val="00FA1ABF"/>
    <w:rPr>
      <w:rFonts w:ascii="Tahoma" w:hAnsi="Tahoma" w:cs="Tahoma"/>
      <w:sz w:val="16"/>
      <w:szCs w:val="16"/>
    </w:rPr>
  </w:style>
  <w:style w:type="paragraph" w:customStyle="1" w:styleId="Default">
    <w:name w:val="Default"/>
    <w:rsid w:val="008B3D51"/>
    <w:pPr>
      <w:autoSpaceDE w:val="0"/>
      <w:autoSpaceDN w:val="0"/>
      <w:adjustRightInd w:val="0"/>
    </w:pPr>
    <w:rPr>
      <w:rFonts w:eastAsiaTheme="minorEastAsia" w:cs="Calibri"/>
      <w:color w:val="000000"/>
      <w:sz w:val="24"/>
      <w:szCs w:val="24"/>
    </w:rPr>
  </w:style>
  <w:style w:type="paragraph" w:styleId="PrformatHTML">
    <w:name w:val="HTML Preformatted"/>
    <w:basedOn w:val="Normal"/>
    <w:link w:val="PrformatHTMLCar"/>
    <w:uiPriority w:val="99"/>
    <w:semiHidden/>
    <w:unhideWhenUsed/>
    <w:rsid w:val="00C77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HTMLCar">
    <w:name w:val="Préformaté HTML Car"/>
    <w:basedOn w:val="Policepardfaut"/>
    <w:link w:val="PrformatHTML"/>
    <w:uiPriority w:val="99"/>
    <w:semiHidden/>
    <w:rsid w:val="00C775D0"/>
    <w:rPr>
      <w:rFonts w:ascii="Courier New" w:eastAsia="Times New Roman" w:hAnsi="Courier New" w:cs="Courier New"/>
    </w:rPr>
  </w:style>
  <w:style w:type="paragraph" w:styleId="Paragraphedeliste">
    <w:name w:val="List Paragraph"/>
    <w:basedOn w:val="Normal"/>
    <w:uiPriority w:val="72"/>
    <w:qFormat/>
    <w:rsid w:val="00DF5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4422">
      <w:bodyDiv w:val="1"/>
      <w:marLeft w:val="0"/>
      <w:marRight w:val="0"/>
      <w:marTop w:val="0"/>
      <w:marBottom w:val="0"/>
      <w:divBdr>
        <w:top w:val="none" w:sz="0" w:space="0" w:color="auto"/>
        <w:left w:val="none" w:sz="0" w:space="0" w:color="auto"/>
        <w:bottom w:val="none" w:sz="0" w:space="0" w:color="auto"/>
        <w:right w:val="none" w:sz="0" w:space="0" w:color="auto"/>
      </w:divBdr>
    </w:div>
    <w:div w:id="401879466">
      <w:bodyDiv w:val="1"/>
      <w:marLeft w:val="0"/>
      <w:marRight w:val="0"/>
      <w:marTop w:val="0"/>
      <w:marBottom w:val="0"/>
      <w:divBdr>
        <w:top w:val="none" w:sz="0" w:space="0" w:color="auto"/>
        <w:left w:val="none" w:sz="0" w:space="0" w:color="auto"/>
        <w:bottom w:val="none" w:sz="0" w:space="0" w:color="auto"/>
        <w:right w:val="none" w:sz="0" w:space="0" w:color="auto"/>
      </w:divBdr>
    </w:div>
    <w:div w:id="534270492">
      <w:bodyDiv w:val="1"/>
      <w:marLeft w:val="0"/>
      <w:marRight w:val="0"/>
      <w:marTop w:val="0"/>
      <w:marBottom w:val="0"/>
      <w:divBdr>
        <w:top w:val="none" w:sz="0" w:space="0" w:color="auto"/>
        <w:left w:val="none" w:sz="0" w:space="0" w:color="auto"/>
        <w:bottom w:val="none" w:sz="0" w:space="0" w:color="auto"/>
        <w:right w:val="none" w:sz="0" w:space="0" w:color="auto"/>
      </w:divBdr>
    </w:div>
    <w:div w:id="1649751292">
      <w:bodyDiv w:val="1"/>
      <w:marLeft w:val="0"/>
      <w:marRight w:val="0"/>
      <w:marTop w:val="0"/>
      <w:marBottom w:val="0"/>
      <w:divBdr>
        <w:top w:val="none" w:sz="0" w:space="0" w:color="auto"/>
        <w:left w:val="none" w:sz="0" w:space="0" w:color="auto"/>
        <w:bottom w:val="none" w:sz="0" w:space="0" w:color="auto"/>
        <w:right w:val="none" w:sz="0" w:space="0" w:color="auto"/>
      </w:divBdr>
    </w:div>
    <w:div w:id="17796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BDA9-EF50-417C-ABC0-69BFB36E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Pelletier</dc:creator>
  <cp:lastModifiedBy>Hewlett-Packard Company</cp:lastModifiedBy>
  <cp:revision>2</cp:revision>
  <cp:lastPrinted>2015-09-25T14:54:00Z</cp:lastPrinted>
  <dcterms:created xsi:type="dcterms:W3CDTF">2017-12-22T15:37:00Z</dcterms:created>
  <dcterms:modified xsi:type="dcterms:W3CDTF">2017-12-22T15:37:00Z</dcterms:modified>
</cp:coreProperties>
</file>