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0F0A" w14:textId="77777777" w:rsidR="00D31DC3" w:rsidRPr="00D340CD" w:rsidRDefault="00D31DC3" w:rsidP="00D31DC3">
      <w:pPr>
        <w:jc w:val="both"/>
        <w:rPr>
          <w:rFonts w:cs="Arial"/>
          <w:b/>
          <w:sz w:val="24"/>
        </w:rPr>
      </w:pPr>
      <w:bookmarkStart w:id="0" w:name="_GoBack"/>
      <w:bookmarkEnd w:id="0"/>
      <w:r w:rsidRPr="00D340CD">
        <w:rPr>
          <w:rFonts w:cs="Arial"/>
          <w:b/>
          <w:iCs/>
          <w:sz w:val="24"/>
        </w:rPr>
        <w:t>Troisième p</w:t>
      </w:r>
      <w:r w:rsidRPr="00D340CD">
        <w:rPr>
          <w:rFonts w:cs="Arial"/>
          <w:b/>
          <w:sz w:val="24"/>
        </w:rPr>
        <w:t xml:space="preserve">artie : Raisonnement s’appuyant sur un dossier documentaire </w:t>
      </w:r>
    </w:p>
    <w:p w14:paraId="4714C115" w14:textId="77777777" w:rsidR="00D31DC3" w:rsidRPr="00D340CD" w:rsidRDefault="00D31DC3" w:rsidP="00D31DC3">
      <w:pPr>
        <w:rPr>
          <w:rFonts w:cs="Arial"/>
          <w:b/>
          <w:sz w:val="24"/>
        </w:rPr>
      </w:pPr>
      <w:r w:rsidRPr="00D340CD">
        <w:rPr>
          <w:rFonts w:cs="Arial"/>
          <w:b/>
          <w:i/>
          <w:sz w:val="24"/>
        </w:rPr>
        <w:t>(10 points)</w:t>
      </w:r>
    </w:p>
    <w:p w14:paraId="0240234A" w14:textId="77777777" w:rsidR="00D31DC3" w:rsidRPr="00D340CD" w:rsidRDefault="00D31DC3" w:rsidP="00D31DC3">
      <w:pPr>
        <w:jc w:val="center"/>
        <w:rPr>
          <w:rFonts w:cs="Arial"/>
          <w:i/>
          <w:sz w:val="24"/>
        </w:rPr>
      </w:pPr>
    </w:p>
    <w:p w14:paraId="71968D7F" w14:textId="77777777" w:rsidR="00D31DC3" w:rsidRPr="00D340CD" w:rsidRDefault="00D31DC3" w:rsidP="00D31DC3">
      <w:pPr>
        <w:jc w:val="center"/>
        <w:rPr>
          <w:rFonts w:cs="Arial"/>
          <w:i/>
          <w:sz w:val="24"/>
        </w:rPr>
      </w:pPr>
      <w:r w:rsidRPr="00D340CD">
        <w:rPr>
          <w:rFonts w:cs="Arial"/>
          <w:i/>
          <w:sz w:val="24"/>
        </w:rPr>
        <w:t xml:space="preserve">Cette partie comporte </w:t>
      </w:r>
      <w:r>
        <w:rPr>
          <w:rFonts w:cs="Arial"/>
          <w:i/>
          <w:sz w:val="24"/>
        </w:rPr>
        <w:t>trois</w:t>
      </w:r>
      <w:r w:rsidRPr="00D340CD">
        <w:rPr>
          <w:rFonts w:cs="Arial"/>
          <w:i/>
          <w:sz w:val="24"/>
          <w:szCs w:val="24"/>
          <w:lang w:eastAsia="ar-SA"/>
        </w:rPr>
        <w:t xml:space="preserve"> </w:t>
      </w:r>
      <w:r w:rsidRPr="00D340CD">
        <w:rPr>
          <w:rFonts w:cs="Arial"/>
          <w:i/>
          <w:sz w:val="24"/>
        </w:rPr>
        <w:t>documents.</w:t>
      </w:r>
    </w:p>
    <w:p w14:paraId="37BF2325" w14:textId="77777777" w:rsidR="00D31DC3" w:rsidRPr="00D340CD" w:rsidRDefault="00D31DC3" w:rsidP="00D31DC3">
      <w:pPr>
        <w:jc w:val="center"/>
        <w:rPr>
          <w:rFonts w:cs="Arial"/>
          <w:b/>
          <w:i/>
          <w:sz w:val="24"/>
        </w:rPr>
      </w:pPr>
    </w:p>
    <w:p w14:paraId="3AB42379" w14:textId="77777777" w:rsidR="00D31DC3" w:rsidRPr="00D340CD" w:rsidRDefault="00D31DC3" w:rsidP="00D31DC3">
      <w:pPr>
        <w:jc w:val="both"/>
        <w:rPr>
          <w:rFonts w:cs="Arial"/>
          <w:b/>
          <w:sz w:val="24"/>
        </w:rPr>
      </w:pPr>
      <w:r w:rsidRPr="00D340CD">
        <w:rPr>
          <w:rFonts w:cs="Arial"/>
          <w:b/>
          <w:sz w:val="24"/>
        </w:rPr>
        <w:t xml:space="preserve">Sujet : </w:t>
      </w:r>
      <w:r>
        <w:rPr>
          <w:rFonts w:cs="Arial"/>
          <w:b/>
          <w:sz w:val="24"/>
        </w:rPr>
        <w:t>À l’aide de vos connaissances et du dossier documentaire, vous montrerez que la banque centrale remplit différents rôles.</w:t>
      </w:r>
    </w:p>
    <w:p w14:paraId="2BC1BB6A" w14:textId="77777777" w:rsidR="00D31DC3" w:rsidRPr="00D340CD" w:rsidRDefault="00D31DC3" w:rsidP="00D31DC3">
      <w:pPr>
        <w:rPr>
          <w:rFonts w:cs="Arial"/>
          <w:b/>
          <w:sz w:val="24"/>
        </w:rPr>
      </w:pPr>
    </w:p>
    <w:p w14:paraId="423F9EE9" w14:textId="77777777" w:rsidR="00D31DC3" w:rsidRDefault="00D31DC3" w:rsidP="00D31DC3">
      <w:pPr>
        <w:rPr>
          <w:rFonts w:cs="Arial"/>
          <w:b/>
          <w:sz w:val="24"/>
          <w:szCs w:val="24"/>
        </w:rPr>
      </w:pPr>
      <w:r>
        <w:rPr>
          <w:rFonts w:cs="Arial"/>
          <w:b/>
          <w:sz w:val="24"/>
          <w:szCs w:val="24"/>
        </w:rPr>
        <w:t>DOCUMENT 1</w:t>
      </w:r>
    </w:p>
    <w:p w14:paraId="1DC01C79" w14:textId="77777777" w:rsidR="00D31DC3" w:rsidRDefault="00D31DC3" w:rsidP="00D31DC3">
      <w:pPr>
        <w:rPr>
          <w:rFonts w:cs="Arial"/>
          <w:b/>
          <w:sz w:val="24"/>
          <w:szCs w:val="24"/>
        </w:rPr>
      </w:pPr>
    </w:p>
    <w:p w14:paraId="6E1120E6" w14:textId="77777777" w:rsidR="00D31DC3" w:rsidRDefault="00D31DC3" w:rsidP="00D31DC3">
      <w:pPr>
        <w:tabs>
          <w:tab w:val="left" w:pos="1260"/>
        </w:tabs>
        <w:jc w:val="both"/>
        <w:rPr>
          <w:rFonts w:cs="Arial"/>
          <w:sz w:val="24"/>
        </w:rPr>
      </w:pPr>
      <w:r>
        <w:rPr>
          <w:rFonts w:cs="Arial"/>
          <w:sz w:val="24"/>
        </w:rPr>
        <w:t>La stabilité des prix est l’objectif principal de la politique monétaire* commune défini dans le traité fondateur de l’Union européenne. Le Conseil des gouverneurs de la BCE a donné une valeur chiffrée à cet objectif en 1998 : « une progression sur un an de l’indice des prix à la consommation harmonisé (IPCH) inférieure à 2 % dans la zone euro », en ajoutant : « la stabilité des prix doit être maintenue sur le moyen terme ». Cette définition fut précisée en 2003 comme le maintien de la hausse de l’indice des prix à la consommation harmonisé à un « niveau inférieur à, mais proche de 2 % à moyen terme ». L’IPCH couvre les prix d’un grand nombre de biens et services, comprenant entre autres les produits alimentaires, l’habillement, l’électricité, les services de santé, etc.</w:t>
      </w:r>
    </w:p>
    <w:p w14:paraId="22281AAE" w14:textId="77777777" w:rsidR="00D31DC3" w:rsidRDefault="00D31DC3" w:rsidP="00D31DC3">
      <w:pPr>
        <w:tabs>
          <w:tab w:val="left" w:pos="1260"/>
        </w:tabs>
        <w:jc w:val="both"/>
        <w:rPr>
          <w:rFonts w:cs="Arial"/>
          <w:sz w:val="24"/>
        </w:rPr>
      </w:pPr>
    </w:p>
    <w:p w14:paraId="77945A40" w14:textId="77777777" w:rsidR="00D31DC3" w:rsidRPr="00091189" w:rsidRDefault="00D31DC3" w:rsidP="00D31DC3">
      <w:pPr>
        <w:tabs>
          <w:tab w:val="left" w:pos="1260"/>
        </w:tabs>
        <w:jc w:val="right"/>
        <w:rPr>
          <w:sz w:val="22"/>
          <w:szCs w:val="22"/>
        </w:rPr>
      </w:pPr>
      <w:r w:rsidRPr="00091189">
        <w:rPr>
          <w:sz w:val="22"/>
          <w:szCs w:val="22"/>
        </w:rPr>
        <w:t xml:space="preserve">Source : « Qu’est-ce que la politique monétaire ? », </w:t>
      </w:r>
      <w:r w:rsidRPr="00091189">
        <w:rPr>
          <w:i/>
          <w:sz w:val="22"/>
          <w:szCs w:val="22"/>
        </w:rPr>
        <w:t>Note d’information</w:t>
      </w:r>
      <w:r w:rsidRPr="00091189">
        <w:rPr>
          <w:sz w:val="22"/>
          <w:szCs w:val="22"/>
        </w:rPr>
        <w:t>, Banque de France, 2015.</w:t>
      </w:r>
    </w:p>
    <w:p w14:paraId="11574FAD" w14:textId="77777777" w:rsidR="00D31DC3" w:rsidRPr="00091189" w:rsidRDefault="00D31DC3" w:rsidP="00D31DC3">
      <w:pPr>
        <w:tabs>
          <w:tab w:val="left" w:pos="1260"/>
        </w:tabs>
        <w:jc w:val="both"/>
        <w:rPr>
          <w:sz w:val="22"/>
          <w:szCs w:val="22"/>
        </w:rPr>
      </w:pPr>
    </w:p>
    <w:p w14:paraId="5D984E3A" w14:textId="77777777" w:rsidR="00D31DC3" w:rsidRPr="00091189" w:rsidRDefault="00D31DC3" w:rsidP="00D31DC3">
      <w:pPr>
        <w:tabs>
          <w:tab w:val="left" w:pos="1260"/>
        </w:tabs>
        <w:jc w:val="both"/>
        <w:rPr>
          <w:sz w:val="22"/>
          <w:szCs w:val="22"/>
        </w:rPr>
      </w:pPr>
      <w:r w:rsidRPr="00091189">
        <w:rPr>
          <w:sz w:val="22"/>
          <w:szCs w:val="22"/>
        </w:rPr>
        <w:t>* Mesures prises par la banque centrale qui agissent sur la masse monétaire en circulation dans une économie.</w:t>
      </w:r>
    </w:p>
    <w:p w14:paraId="36FDF19F" w14:textId="77777777" w:rsidR="00D31DC3" w:rsidRDefault="00D31DC3" w:rsidP="00D31DC3">
      <w:pPr>
        <w:rPr>
          <w:rFonts w:cs="Arial"/>
          <w:b/>
          <w:sz w:val="24"/>
          <w:szCs w:val="24"/>
        </w:rPr>
      </w:pPr>
    </w:p>
    <w:p w14:paraId="472B1F7A" w14:textId="77777777" w:rsidR="00D31DC3" w:rsidRDefault="00D31DC3" w:rsidP="00D31DC3">
      <w:pPr>
        <w:rPr>
          <w:rFonts w:cs="Arial"/>
          <w:b/>
          <w:sz w:val="24"/>
          <w:szCs w:val="24"/>
        </w:rPr>
      </w:pPr>
      <w:r>
        <w:rPr>
          <w:rFonts w:cs="Arial"/>
          <w:b/>
          <w:sz w:val="24"/>
          <w:szCs w:val="24"/>
        </w:rPr>
        <w:t>DOCUMENT 2</w:t>
      </w:r>
    </w:p>
    <w:p w14:paraId="5C63666F" w14:textId="77777777" w:rsidR="00D31DC3" w:rsidRPr="004F1C7D" w:rsidRDefault="00D31DC3" w:rsidP="00D31DC3">
      <w:pPr>
        <w:spacing w:before="120"/>
        <w:jc w:val="center"/>
        <w:rPr>
          <w:b/>
          <w:bCs/>
          <w:sz w:val="24"/>
          <w:szCs w:val="24"/>
        </w:rPr>
      </w:pPr>
      <w:r w:rsidRPr="004F1C7D">
        <w:rPr>
          <w:b/>
          <w:bCs/>
          <w:sz w:val="24"/>
          <w:szCs w:val="24"/>
        </w:rPr>
        <w:t>Taux d'inflation</w:t>
      </w:r>
      <w:r>
        <w:rPr>
          <w:b/>
          <w:bCs/>
          <w:sz w:val="24"/>
          <w:szCs w:val="24"/>
          <w:vertAlign w:val="superscript"/>
        </w:rPr>
        <w:t>*</w:t>
      </w:r>
      <w:r w:rsidRPr="004F1C7D">
        <w:rPr>
          <w:b/>
          <w:bCs/>
          <w:sz w:val="24"/>
          <w:szCs w:val="24"/>
        </w:rPr>
        <w:t xml:space="preserve"> dans la zone </w:t>
      </w:r>
      <w:r>
        <w:rPr>
          <w:b/>
          <w:bCs/>
          <w:sz w:val="24"/>
          <w:szCs w:val="24"/>
        </w:rPr>
        <w:t>e</w:t>
      </w:r>
      <w:r w:rsidRPr="004F1C7D">
        <w:rPr>
          <w:b/>
          <w:bCs/>
          <w:sz w:val="24"/>
          <w:szCs w:val="24"/>
        </w:rPr>
        <w:t xml:space="preserve">uro et taux d'intérêt directeur de la Banque </w:t>
      </w:r>
      <w:r>
        <w:rPr>
          <w:b/>
          <w:bCs/>
          <w:sz w:val="24"/>
          <w:szCs w:val="24"/>
        </w:rPr>
        <w:t>c</w:t>
      </w:r>
      <w:r w:rsidRPr="004F1C7D">
        <w:rPr>
          <w:b/>
          <w:bCs/>
          <w:sz w:val="24"/>
          <w:szCs w:val="24"/>
        </w:rPr>
        <w:t xml:space="preserve">entrale </w:t>
      </w:r>
      <w:r>
        <w:rPr>
          <w:b/>
          <w:bCs/>
          <w:sz w:val="24"/>
          <w:szCs w:val="24"/>
        </w:rPr>
        <w:t>e</w:t>
      </w:r>
      <w:r w:rsidRPr="004F1C7D">
        <w:rPr>
          <w:b/>
          <w:bCs/>
          <w:sz w:val="24"/>
          <w:szCs w:val="24"/>
        </w:rPr>
        <w:t>uropéenne</w:t>
      </w:r>
      <w:r>
        <w:rPr>
          <w:b/>
          <w:bCs/>
          <w:sz w:val="24"/>
          <w:szCs w:val="24"/>
        </w:rPr>
        <w:t xml:space="preserve"> (en %)</w:t>
      </w:r>
    </w:p>
    <w:p w14:paraId="6C5D855E" w14:textId="77777777" w:rsidR="00D31DC3" w:rsidRDefault="00D31DC3" w:rsidP="00D31DC3">
      <w:pPr>
        <w:rPr>
          <w:rFonts w:cs="Arial"/>
          <w:b/>
          <w:sz w:val="24"/>
          <w:szCs w:val="24"/>
        </w:rPr>
      </w:pPr>
      <w:r w:rsidRPr="00FE53D3">
        <w:rPr>
          <w:rFonts w:cs="Arial"/>
          <w:b/>
          <w:noProof/>
          <w:color w:val="000000" w:themeColor="text1"/>
          <w:sz w:val="24"/>
          <w:szCs w:val="24"/>
        </w:rPr>
        <w:drawing>
          <wp:inline distT="0" distB="0" distL="0" distR="0" wp14:anchorId="7906F219" wp14:editId="1A829F06">
            <wp:extent cx="5486400" cy="3116275"/>
            <wp:effectExtent l="0" t="0" r="0" b="825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5AD24735" w14:textId="77777777" w:rsidR="00D31DC3" w:rsidRPr="00091189" w:rsidRDefault="00D31DC3" w:rsidP="00D31DC3">
      <w:pPr>
        <w:jc w:val="right"/>
        <w:rPr>
          <w:rFonts w:cs="Arial"/>
          <w:sz w:val="22"/>
          <w:szCs w:val="24"/>
        </w:rPr>
      </w:pPr>
      <w:r w:rsidRPr="00091189">
        <w:rPr>
          <w:rFonts w:cs="Arial"/>
          <w:sz w:val="22"/>
          <w:szCs w:val="24"/>
        </w:rPr>
        <w:t>Source : B</w:t>
      </w:r>
      <w:r>
        <w:rPr>
          <w:rFonts w:cs="Arial"/>
          <w:sz w:val="22"/>
          <w:szCs w:val="24"/>
        </w:rPr>
        <w:t>anque centrale européenne</w:t>
      </w:r>
      <w:r w:rsidRPr="00091189">
        <w:rPr>
          <w:rFonts w:cs="Arial"/>
          <w:sz w:val="22"/>
          <w:szCs w:val="24"/>
        </w:rPr>
        <w:t>, 2017.</w:t>
      </w:r>
    </w:p>
    <w:p w14:paraId="500290FF" w14:textId="77777777" w:rsidR="00D31DC3" w:rsidRDefault="00D31DC3" w:rsidP="00D31DC3">
      <w:pPr>
        <w:rPr>
          <w:rFonts w:cs="Arial"/>
          <w:sz w:val="22"/>
          <w:szCs w:val="24"/>
        </w:rPr>
      </w:pPr>
    </w:p>
    <w:p w14:paraId="0D817130" w14:textId="77777777" w:rsidR="00D31DC3" w:rsidRPr="00091189" w:rsidRDefault="00D31DC3" w:rsidP="00D31DC3">
      <w:pPr>
        <w:rPr>
          <w:rFonts w:cs="Arial"/>
          <w:sz w:val="22"/>
          <w:szCs w:val="24"/>
        </w:rPr>
      </w:pPr>
      <w:r w:rsidRPr="00091189">
        <w:rPr>
          <w:rFonts w:cs="Arial"/>
          <w:sz w:val="22"/>
          <w:szCs w:val="24"/>
        </w:rPr>
        <w:t>* Taux de variation (en %) du niveau général des prix à la consommation.</w:t>
      </w:r>
    </w:p>
    <w:p w14:paraId="39DFFD27" w14:textId="77777777" w:rsidR="00D31DC3" w:rsidRDefault="00D31DC3" w:rsidP="00D31DC3">
      <w:pPr>
        <w:rPr>
          <w:rFonts w:cs="Arial"/>
          <w:b/>
          <w:sz w:val="24"/>
          <w:szCs w:val="24"/>
        </w:rPr>
      </w:pPr>
      <w:r>
        <w:rPr>
          <w:rFonts w:cs="Arial"/>
          <w:b/>
          <w:sz w:val="24"/>
          <w:szCs w:val="24"/>
        </w:rPr>
        <w:lastRenderedPageBreak/>
        <w:t>DOCUMENT 3</w:t>
      </w:r>
    </w:p>
    <w:p w14:paraId="60FF9C47" w14:textId="77777777" w:rsidR="00D31DC3" w:rsidRDefault="00D31DC3" w:rsidP="00D31DC3">
      <w:pPr>
        <w:rPr>
          <w:rFonts w:cs="Arial"/>
          <w:b/>
          <w:sz w:val="24"/>
          <w:szCs w:val="24"/>
        </w:rPr>
      </w:pPr>
    </w:p>
    <w:p w14:paraId="491B4B33" w14:textId="77777777" w:rsidR="00D31DC3" w:rsidRDefault="00D31DC3" w:rsidP="00D31DC3">
      <w:pPr>
        <w:jc w:val="both"/>
        <w:rPr>
          <w:rFonts w:cs="Arial"/>
          <w:sz w:val="24"/>
          <w:szCs w:val="24"/>
        </w:rPr>
      </w:pPr>
      <w:r>
        <w:rPr>
          <w:rFonts w:cs="Arial"/>
          <w:sz w:val="24"/>
          <w:szCs w:val="24"/>
        </w:rPr>
        <w:t>L</w:t>
      </w:r>
      <w:r w:rsidRPr="003D72A9">
        <w:rPr>
          <w:rFonts w:cs="Arial"/>
          <w:sz w:val="24"/>
          <w:szCs w:val="24"/>
        </w:rPr>
        <w:t xml:space="preserve">es banques commerciales peuvent à tout moment manquer de liquidités pour assurer leurs activités quotidiennes </w:t>
      </w:r>
      <w:r>
        <w:rPr>
          <w:rFonts w:cs="Arial"/>
          <w:sz w:val="24"/>
          <w:szCs w:val="24"/>
        </w:rPr>
        <w:t>[</w:t>
      </w:r>
      <w:r w:rsidRPr="003D72A9">
        <w:rPr>
          <w:rFonts w:cs="Arial"/>
          <w:sz w:val="24"/>
          <w:szCs w:val="24"/>
        </w:rPr>
        <w:t>…</w:t>
      </w:r>
      <w:r>
        <w:rPr>
          <w:rFonts w:cs="Arial"/>
          <w:sz w:val="24"/>
          <w:szCs w:val="24"/>
        </w:rPr>
        <w:t>]</w:t>
      </w:r>
      <w:r w:rsidRPr="003D72A9">
        <w:rPr>
          <w:rFonts w:cs="Arial"/>
          <w:sz w:val="24"/>
          <w:szCs w:val="24"/>
        </w:rPr>
        <w:t xml:space="preserve"> Lorsqu’une banque doit se refinancer, c’est-à-dire doit trouver des liquidités pour régler une dette, elle peut les trouver sur le marché monétaire. Ce marché permet aux banques et aux grandes entreprises de prêter ou d’emprunter des montants élevés sur des durées courtes (d’une journée à un an) et donc de placer leurs excédents de trésorerie</w:t>
      </w:r>
      <w:r>
        <w:rPr>
          <w:rFonts w:cs="Arial"/>
          <w:sz w:val="24"/>
          <w:szCs w:val="24"/>
          <w:vertAlign w:val="superscript"/>
        </w:rPr>
        <w:t>1</w:t>
      </w:r>
      <w:r w:rsidRPr="003D72A9">
        <w:rPr>
          <w:rFonts w:cs="Arial"/>
          <w:sz w:val="24"/>
          <w:szCs w:val="24"/>
        </w:rPr>
        <w:t xml:space="preserve"> de court terme ou au contraire de faire face à un déficit temporaire de liquidité. C’est également sur ce marché que la banque centrale peut intervenir pour prêter des liquidités ou en «</w:t>
      </w:r>
      <w:r>
        <w:rPr>
          <w:rFonts w:cs="Arial"/>
          <w:sz w:val="24"/>
          <w:szCs w:val="24"/>
        </w:rPr>
        <w:t> </w:t>
      </w:r>
      <w:r w:rsidRPr="003D72A9">
        <w:rPr>
          <w:rFonts w:cs="Arial"/>
          <w:sz w:val="24"/>
          <w:szCs w:val="24"/>
        </w:rPr>
        <w:t>emprunter</w:t>
      </w:r>
      <w:r>
        <w:rPr>
          <w:rFonts w:cs="Arial"/>
          <w:sz w:val="24"/>
          <w:szCs w:val="24"/>
        </w:rPr>
        <w:t> </w:t>
      </w:r>
      <w:r w:rsidRPr="003D72A9">
        <w:rPr>
          <w:rFonts w:cs="Arial"/>
          <w:sz w:val="24"/>
          <w:szCs w:val="24"/>
        </w:rPr>
        <w:t xml:space="preserve">» (ce qui revient à les retirer du circuit). En 2007, les premières manifestations de la crise des </w:t>
      </w:r>
      <w:r w:rsidRPr="003D72A9">
        <w:rPr>
          <w:rFonts w:cs="Arial"/>
          <w:i/>
          <w:sz w:val="24"/>
          <w:szCs w:val="24"/>
        </w:rPr>
        <w:t>subprimes</w:t>
      </w:r>
      <w:r w:rsidRPr="00091189">
        <w:rPr>
          <w:rFonts w:cs="Arial"/>
          <w:sz w:val="24"/>
          <w:szCs w:val="24"/>
          <w:vertAlign w:val="superscript"/>
        </w:rPr>
        <w:t>2</w:t>
      </w:r>
      <w:r w:rsidRPr="003D72A9">
        <w:rPr>
          <w:rFonts w:cs="Arial"/>
          <w:sz w:val="24"/>
          <w:szCs w:val="24"/>
        </w:rPr>
        <w:t xml:space="preserve"> ont installé un tel climat de défiance qu’elles refusaient de se prêter mutuellement de l’argent </w:t>
      </w:r>
      <w:r w:rsidRPr="003D72A9">
        <w:rPr>
          <w:rFonts w:cs="Arial"/>
          <w:i/>
          <w:sz w:val="24"/>
          <w:szCs w:val="24"/>
        </w:rPr>
        <w:t>via</w:t>
      </w:r>
      <w:r w:rsidRPr="003D72A9">
        <w:rPr>
          <w:rFonts w:cs="Arial"/>
          <w:sz w:val="24"/>
          <w:szCs w:val="24"/>
        </w:rPr>
        <w:t xml:space="preserve"> le marché monétaire de nombreuses banques se sont donc trouvées en situation de manque de liquidités</w:t>
      </w:r>
      <w:r>
        <w:rPr>
          <w:rFonts w:cs="Arial"/>
          <w:sz w:val="24"/>
          <w:szCs w:val="24"/>
        </w:rPr>
        <w:t xml:space="preserve"> […]. </w:t>
      </w:r>
      <w:r w:rsidRPr="003D72A9">
        <w:rPr>
          <w:rFonts w:cs="Arial"/>
          <w:sz w:val="24"/>
          <w:szCs w:val="24"/>
        </w:rPr>
        <w:t>Afin d’éviter une vague de faillites bancaires, dommageable pour l’ensemble de l’économie, les banques centrales ont joué leur rôle de «</w:t>
      </w:r>
      <w:r>
        <w:rPr>
          <w:rFonts w:cs="Arial"/>
          <w:sz w:val="24"/>
          <w:szCs w:val="24"/>
        </w:rPr>
        <w:t> </w:t>
      </w:r>
      <w:r w:rsidRPr="003D72A9">
        <w:rPr>
          <w:rFonts w:cs="Arial"/>
          <w:sz w:val="24"/>
          <w:szCs w:val="24"/>
        </w:rPr>
        <w:t>prêteur en dernier ressort</w:t>
      </w:r>
      <w:r>
        <w:rPr>
          <w:rFonts w:cs="Arial"/>
          <w:sz w:val="24"/>
          <w:szCs w:val="24"/>
        </w:rPr>
        <w:t> </w:t>
      </w:r>
      <w:r w:rsidRPr="003D72A9">
        <w:rPr>
          <w:rFonts w:cs="Arial"/>
          <w:sz w:val="24"/>
          <w:szCs w:val="24"/>
        </w:rPr>
        <w:t>»</w:t>
      </w:r>
      <w:r>
        <w:rPr>
          <w:rFonts w:cs="Arial"/>
          <w:sz w:val="24"/>
          <w:szCs w:val="24"/>
        </w:rPr>
        <w:t xml:space="preserve"> </w:t>
      </w:r>
      <w:r w:rsidRPr="003D72A9">
        <w:rPr>
          <w:rFonts w:cs="Arial"/>
          <w:sz w:val="24"/>
          <w:szCs w:val="24"/>
        </w:rPr>
        <w:t>: elles ont «</w:t>
      </w:r>
      <w:r>
        <w:rPr>
          <w:rFonts w:cs="Arial"/>
          <w:sz w:val="24"/>
          <w:szCs w:val="24"/>
        </w:rPr>
        <w:t> </w:t>
      </w:r>
      <w:r w:rsidRPr="003D72A9">
        <w:rPr>
          <w:rFonts w:cs="Arial"/>
          <w:sz w:val="24"/>
          <w:szCs w:val="24"/>
        </w:rPr>
        <w:t>injecté</w:t>
      </w:r>
      <w:r>
        <w:rPr>
          <w:rFonts w:cs="Arial"/>
          <w:sz w:val="24"/>
          <w:szCs w:val="24"/>
        </w:rPr>
        <w:t> </w:t>
      </w:r>
      <w:r w:rsidRPr="003D72A9">
        <w:rPr>
          <w:rFonts w:cs="Arial"/>
          <w:sz w:val="24"/>
          <w:szCs w:val="24"/>
        </w:rPr>
        <w:t>» des liquidités, ce qui signifie qu’elles ont alimenté le marché interbancaire en liquidités. Leur action a consisté à accorder massivement des prêts aux banques qui en avaient besoin</w:t>
      </w:r>
      <w:r>
        <w:rPr>
          <w:rFonts w:cs="Arial"/>
          <w:sz w:val="24"/>
          <w:szCs w:val="24"/>
        </w:rPr>
        <w:t xml:space="preserve"> […]</w:t>
      </w:r>
      <w:r w:rsidRPr="003D72A9">
        <w:rPr>
          <w:rFonts w:cs="Arial"/>
          <w:sz w:val="24"/>
          <w:szCs w:val="24"/>
        </w:rPr>
        <w:t>. L’offre de liquidités aux banques commerciales figure parmi les «</w:t>
      </w:r>
      <w:r>
        <w:rPr>
          <w:rFonts w:cs="Arial"/>
          <w:sz w:val="24"/>
          <w:szCs w:val="24"/>
        </w:rPr>
        <w:t> </w:t>
      </w:r>
      <w:r w:rsidRPr="003D72A9">
        <w:rPr>
          <w:rFonts w:cs="Arial"/>
          <w:sz w:val="24"/>
          <w:szCs w:val="24"/>
        </w:rPr>
        <w:t>activités normales</w:t>
      </w:r>
      <w:r>
        <w:rPr>
          <w:rFonts w:cs="Arial"/>
          <w:sz w:val="24"/>
          <w:szCs w:val="24"/>
        </w:rPr>
        <w:t> </w:t>
      </w:r>
      <w:r w:rsidRPr="003D72A9">
        <w:rPr>
          <w:rFonts w:cs="Arial"/>
          <w:sz w:val="24"/>
          <w:szCs w:val="24"/>
        </w:rPr>
        <w:t>» des banques central</w:t>
      </w:r>
      <w:r>
        <w:rPr>
          <w:rFonts w:cs="Arial"/>
          <w:sz w:val="24"/>
          <w:szCs w:val="24"/>
        </w:rPr>
        <w:t xml:space="preserve">es, même en l’absence de crise. </w:t>
      </w:r>
    </w:p>
    <w:p w14:paraId="3720C396" w14:textId="77777777" w:rsidR="00D31DC3" w:rsidRDefault="00D31DC3" w:rsidP="00D31DC3">
      <w:pPr>
        <w:jc w:val="both"/>
        <w:rPr>
          <w:rFonts w:cs="Arial"/>
          <w:sz w:val="24"/>
          <w:szCs w:val="24"/>
        </w:rPr>
      </w:pPr>
    </w:p>
    <w:p w14:paraId="7EFC2615" w14:textId="77777777" w:rsidR="00D31DC3" w:rsidRPr="003D72A9" w:rsidRDefault="00D31DC3" w:rsidP="00D31DC3">
      <w:pPr>
        <w:jc w:val="right"/>
        <w:rPr>
          <w:rFonts w:cs="Arial"/>
          <w:sz w:val="22"/>
          <w:szCs w:val="24"/>
        </w:rPr>
      </w:pPr>
      <w:r w:rsidRPr="003D72A9">
        <w:rPr>
          <w:rFonts w:cs="Arial"/>
          <w:sz w:val="22"/>
          <w:szCs w:val="24"/>
        </w:rPr>
        <w:t xml:space="preserve">Source : </w:t>
      </w:r>
      <w:r w:rsidRPr="003D72A9">
        <w:rPr>
          <w:rFonts w:cs="Arial"/>
          <w:i/>
          <w:sz w:val="22"/>
          <w:szCs w:val="24"/>
        </w:rPr>
        <w:t xml:space="preserve">Des </w:t>
      </w:r>
      <w:proofErr w:type="spellStart"/>
      <w:r w:rsidRPr="003D72A9">
        <w:rPr>
          <w:rFonts w:cs="Arial"/>
          <w:i/>
          <w:sz w:val="22"/>
          <w:szCs w:val="24"/>
        </w:rPr>
        <w:t>subprimes</w:t>
      </w:r>
      <w:proofErr w:type="spellEnd"/>
      <w:r w:rsidRPr="003D72A9">
        <w:rPr>
          <w:rFonts w:cs="Arial"/>
          <w:i/>
          <w:sz w:val="22"/>
          <w:szCs w:val="24"/>
        </w:rPr>
        <w:t xml:space="preserve"> à la récession, comprendre la crise</w:t>
      </w:r>
      <w:r w:rsidRPr="003D72A9">
        <w:rPr>
          <w:rFonts w:cs="Arial"/>
          <w:sz w:val="22"/>
          <w:szCs w:val="24"/>
        </w:rPr>
        <w:t>,</w:t>
      </w:r>
      <w:r>
        <w:rPr>
          <w:rFonts w:cs="Arial"/>
          <w:sz w:val="22"/>
          <w:szCs w:val="24"/>
        </w:rPr>
        <w:t xml:space="preserve"> </w:t>
      </w:r>
      <w:r w:rsidRPr="003D72A9">
        <w:rPr>
          <w:rFonts w:cs="Arial"/>
          <w:sz w:val="22"/>
          <w:szCs w:val="24"/>
        </w:rPr>
        <w:t>Nicolas COUDERC et Olivia</w:t>
      </w:r>
      <w:r>
        <w:rPr>
          <w:rFonts w:cs="Arial"/>
          <w:sz w:val="22"/>
          <w:szCs w:val="24"/>
        </w:rPr>
        <w:t xml:space="preserve"> </w:t>
      </w:r>
      <w:r w:rsidRPr="003D72A9">
        <w:rPr>
          <w:rFonts w:cs="Arial"/>
          <w:sz w:val="22"/>
          <w:szCs w:val="24"/>
        </w:rPr>
        <w:t>MONTEL-DUMONT, 2009.</w:t>
      </w:r>
    </w:p>
    <w:p w14:paraId="2A4DF69B" w14:textId="77777777" w:rsidR="001B0F53" w:rsidRDefault="001B0F53"/>
    <w:sectPr w:rsidR="001B0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C3"/>
    <w:rsid w:val="001B0F53"/>
    <w:rsid w:val="00386BB6"/>
    <w:rsid w:val="00866D13"/>
    <w:rsid w:val="00C35081"/>
    <w:rsid w:val="00D31DC3"/>
    <w:rsid w:val="00D527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70E9"/>
  <w15:chartTrackingRefBased/>
  <w15:docId w15:val="{20D5F388-115D-465F-8146-FD6C074B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DC3"/>
    <w:pPr>
      <w:spacing w:after="0" w:line="240" w:lineRule="auto"/>
    </w:pPr>
    <w:rPr>
      <w:rFonts w:eastAsia="MS Mincho" w:cs="Times New Roman"/>
      <w:sz w:val="20"/>
      <w:szCs w:val="20"/>
      <w:lang w:eastAsia="fr-FR"/>
    </w:rPr>
  </w:style>
  <w:style w:type="paragraph" w:styleId="Titre1">
    <w:name w:val="heading 1"/>
    <w:basedOn w:val="Normal"/>
    <w:next w:val="Normal"/>
    <w:link w:val="Titre1Car"/>
    <w:uiPriority w:val="9"/>
    <w:qFormat/>
    <w:rsid w:val="00386BB6"/>
    <w:pPr>
      <w:keepNext/>
      <w:keepLines/>
      <w:spacing w:before="240" w:line="259" w:lineRule="auto"/>
      <w:outlineLvl w:val="0"/>
    </w:pPr>
    <w:rPr>
      <w:rFonts w:eastAsiaTheme="majorEastAsia" w:cstheme="majorBidi"/>
      <w:color w:val="2F5496"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6BB6"/>
    <w:rPr>
      <w:rFonts w:ascii="Arial" w:eastAsiaTheme="majorEastAsia" w:hAnsi="Arial"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Feuil1!$C$1</c:f>
              <c:strCache>
                <c:ptCount val="1"/>
                <c:pt idx="0">
                  <c:v>Taux d'inflation mensuelle de la zone euro (en %)</c:v>
                </c:pt>
              </c:strCache>
            </c:strRef>
          </c:tx>
          <c:spPr>
            <a:ln w="28575" cap="rnd" cmpd="dbl">
              <a:solidFill>
                <a:schemeClr val="bg1">
                  <a:lumMod val="50000"/>
                </a:schemeClr>
              </a:solidFill>
              <a:round/>
            </a:ln>
            <a:effectLst/>
          </c:spPr>
          <c:marker>
            <c:symbol val="none"/>
          </c:marker>
          <c:dPt>
            <c:idx val="24"/>
            <c:marker>
              <c:symbol val="none"/>
            </c:marker>
            <c:bubble3D val="0"/>
            <c:spPr>
              <a:ln w="28575" cap="rnd" cmpd="dbl">
                <a:solidFill>
                  <a:schemeClr val="tx1"/>
                </a:solidFill>
                <a:round/>
              </a:ln>
              <a:effectLst/>
            </c:spPr>
            <c:extLst>
              <c:ext xmlns:c16="http://schemas.microsoft.com/office/drawing/2014/chart" uri="{C3380CC4-5D6E-409C-BE32-E72D297353CC}">
                <c16:uniqueId val="{00000001-9FF3-4FD0-9C54-5384B7DC4120}"/>
              </c:ext>
            </c:extLst>
          </c:dPt>
          <c:cat>
            <c:numRef>
              <c:f>Feuil1!$A$2:$A$228</c:f>
              <c:numCache>
                <c:formatCode>m/d/yyyy</c:formatCode>
                <c:ptCount val="227"/>
                <c:pt idx="0">
                  <c:v>36161</c:v>
                </c:pt>
                <c:pt idx="1">
                  <c:v>36192</c:v>
                </c:pt>
                <c:pt idx="2">
                  <c:v>36220</c:v>
                </c:pt>
                <c:pt idx="3">
                  <c:v>36251</c:v>
                </c:pt>
                <c:pt idx="4">
                  <c:v>36281</c:v>
                </c:pt>
                <c:pt idx="5">
                  <c:v>36312</c:v>
                </c:pt>
                <c:pt idx="6">
                  <c:v>36342</c:v>
                </c:pt>
                <c:pt idx="7">
                  <c:v>36373</c:v>
                </c:pt>
                <c:pt idx="8">
                  <c:v>36404</c:v>
                </c:pt>
                <c:pt idx="9">
                  <c:v>36434</c:v>
                </c:pt>
                <c:pt idx="10">
                  <c:v>36465</c:v>
                </c:pt>
                <c:pt idx="11">
                  <c:v>36495</c:v>
                </c:pt>
                <c:pt idx="12">
                  <c:v>36526</c:v>
                </c:pt>
                <c:pt idx="13">
                  <c:v>36557</c:v>
                </c:pt>
                <c:pt idx="14">
                  <c:v>36586</c:v>
                </c:pt>
                <c:pt idx="15">
                  <c:v>36617</c:v>
                </c:pt>
                <c:pt idx="16">
                  <c:v>36647</c:v>
                </c:pt>
                <c:pt idx="17">
                  <c:v>36678</c:v>
                </c:pt>
                <c:pt idx="18">
                  <c:v>36708</c:v>
                </c:pt>
                <c:pt idx="19">
                  <c:v>36739</c:v>
                </c:pt>
                <c:pt idx="20">
                  <c:v>36770</c:v>
                </c:pt>
                <c:pt idx="21">
                  <c:v>36800</c:v>
                </c:pt>
                <c:pt idx="22">
                  <c:v>36831</c:v>
                </c:pt>
                <c:pt idx="23">
                  <c:v>36861</c:v>
                </c:pt>
                <c:pt idx="24">
                  <c:v>36892</c:v>
                </c:pt>
                <c:pt idx="25">
                  <c:v>36923</c:v>
                </c:pt>
                <c:pt idx="26">
                  <c:v>36951</c:v>
                </c:pt>
                <c:pt idx="27">
                  <c:v>36982</c:v>
                </c:pt>
                <c:pt idx="28">
                  <c:v>37012</c:v>
                </c:pt>
                <c:pt idx="29">
                  <c:v>37043</c:v>
                </c:pt>
                <c:pt idx="30">
                  <c:v>37073</c:v>
                </c:pt>
                <c:pt idx="31">
                  <c:v>37104</c:v>
                </c:pt>
                <c:pt idx="32">
                  <c:v>37135</c:v>
                </c:pt>
                <c:pt idx="33">
                  <c:v>37152</c:v>
                </c:pt>
                <c:pt idx="34">
                  <c:v>37165</c:v>
                </c:pt>
                <c:pt idx="35">
                  <c:v>37196</c:v>
                </c:pt>
                <c:pt idx="36">
                  <c:v>37226</c:v>
                </c:pt>
                <c:pt idx="37">
                  <c:v>37257</c:v>
                </c:pt>
                <c:pt idx="38">
                  <c:v>37288</c:v>
                </c:pt>
                <c:pt idx="39">
                  <c:v>37316</c:v>
                </c:pt>
                <c:pt idx="40">
                  <c:v>37347</c:v>
                </c:pt>
                <c:pt idx="41">
                  <c:v>37377</c:v>
                </c:pt>
                <c:pt idx="42">
                  <c:v>37408</c:v>
                </c:pt>
                <c:pt idx="43">
                  <c:v>37438</c:v>
                </c:pt>
                <c:pt idx="44">
                  <c:v>37469</c:v>
                </c:pt>
                <c:pt idx="45">
                  <c:v>37500</c:v>
                </c:pt>
                <c:pt idx="46">
                  <c:v>37530</c:v>
                </c:pt>
                <c:pt idx="47">
                  <c:v>37561</c:v>
                </c:pt>
                <c:pt idx="48">
                  <c:v>37591</c:v>
                </c:pt>
                <c:pt idx="49">
                  <c:v>37622</c:v>
                </c:pt>
                <c:pt idx="50">
                  <c:v>37653</c:v>
                </c:pt>
                <c:pt idx="51">
                  <c:v>37681</c:v>
                </c:pt>
                <c:pt idx="52">
                  <c:v>37712</c:v>
                </c:pt>
                <c:pt idx="53">
                  <c:v>37742</c:v>
                </c:pt>
                <c:pt idx="54">
                  <c:v>37773</c:v>
                </c:pt>
                <c:pt idx="55">
                  <c:v>37803</c:v>
                </c:pt>
                <c:pt idx="56">
                  <c:v>37834</c:v>
                </c:pt>
                <c:pt idx="57">
                  <c:v>37865</c:v>
                </c:pt>
                <c:pt idx="58">
                  <c:v>37895</c:v>
                </c:pt>
                <c:pt idx="59">
                  <c:v>37926</c:v>
                </c:pt>
                <c:pt idx="60">
                  <c:v>37956</c:v>
                </c:pt>
                <c:pt idx="61">
                  <c:v>37987</c:v>
                </c:pt>
                <c:pt idx="62">
                  <c:v>38018</c:v>
                </c:pt>
                <c:pt idx="63">
                  <c:v>38047</c:v>
                </c:pt>
                <c:pt idx="64">
                  <c:v>38078</c:v>
                </c:pt>
                <c:pt idx="65">
                  <c:v>38108</c:v>
                </c:pt>
                <c:pt idx="66">
                  <c:v>38139</c:v>
                </c:pt>
                <c:pt idx="67">
                  <c:v>38169</c:v>
                </c:pt>
                <c:pt idx="68">
                  <c:v>38200</c:v>
                </c:pt>
                <c:pt idx="69">
                  <c:v>38231</c:v>
                </c:pt>
                <c:pt idx="70">
                  <c:v>38261</c:v>
                </c:pt>
                <c:pt idx="71">
                  <c:v>38292</c:v>
                </c:pt>
                <c:pt idx="72">
                  <c:v>38322</c:v>
                </c:pt>
                <c:pt idx="73">
                  <c:v>38353</c:v>
                </c:pt>
                <c:pt idx="74">
                  <c:v>38384</c:v>
                </c:pt>
                <c:pt idx="75">
                  <c:v>38412</c:v>
                </c:pt>
                <c:pt idx="76">
                  <c:v>38443</c:v>
                </c:pt>
                <c:pt idx="77">
                  <c:v>38473</c:v>
                </c:pt>
                <c:pt idx="78">
                  <c:v>38504</c:v>
                </c:pt>
                <c:pt idx="79">
                  <c:v>38534</c:v>
                </c:pt>
                <c:pt idx="80">
                  <c:v>38565</c:v>
                </c:pt>
                <c:pt idx="81">
                  <c:v>38596</c:v>
                </c:pt>
                <c:pt idx="82">
                  <c:v>38626</c:v>
                </c:pt>
                <c:pt idx="83">
                  <c:v>38657</c:v>
                </c:pt>
                <c:pt idx="84">
                  <c:v>38687</c:v>
                </c:pt>
                <c:pt idx="85">
                  <c:v>38718</c:v>
                </c:pt>
                <c:pt idx="86">
                  <c:v>38749</c:v>
                </c:pt>
                <c:pt idx="87">
                  <c:v>38777</c:v>
                </c:pt>
                <c:pt idx="88">
                  <c:v>38808</c:v>
                </c:pt>
                <c:pt idx="89">
                  <c:v>38838</c:v>
                </c:pt>
                <c:pt idx="90">
                  <c:v>38869</c:v>
                </c:pt>
                <c:pt idx="91">
                  <c:v>38899</c:v>
                </c:pt>
                <c:pt idx="92">
                  <c:v>38930</c:v>
                </c:pt>
                <c:pt idx="93">
                  <c:v>38961</c:v>
                </c:pt>
                <c:pt idx="94">
                  <c:v>38991</c:v>
                </c:pt>
                <c:pt idx="95">
                  <c:v>39022</c:v>
                </c:pt>
                <c:pt idx="96">
                  <c:v>39052</c:v>
                </c:pt>
                <c:pt idx="97">
                  <c:v>39083</c:v>
                </c:pt>
                <c:pt idx="98">
                  <c:v>39114</c:v>
                </c:pt>
                <c:pt idx="99">
                  <c:v>39142</c:v>
                </c:pt>
                <c:pt idx="100">
                  <c:v>39173</c:v>
                </c:pt>
                <c:pt idx="101">
                  <c:v>39203</c:v>
                </c:pt>
                <c:pt idx="102">
                  <c:v>39234</c:v>
                </c:pt>
                <c:pt idx="103">
                  <c:v>39264</c:v>
                </c:pt>
                <c:pt idx="104">
                  <c:v>39295</c:v>
                </c:pt>
                <c:pt idx="105">
                  <c:v>39326</c:v>
                </c:pt>
                <c:pt idx="106">
                  <c:v>39356</c:v>
                </c:pt>
                <c:pt idx="107">
                  <c:v>39387</c:v>
                </c:pt>
                <c:pt idx="108">
                  <c:v>39417</c:v>
                </c:pt>
                <c:pt idx="109">
                  <c:v>39448</c:v>
                </c:pt>
                <c:pt idx="110">
                  <c:v>39479</c:v>
                </c:pt>
                <c:pt idx="111">
                  <c:v>39508</c:v>
                </c:pt>
                <c:pt idx="112">
                  <c:v>39539</c:v>
                </c:pt>
                <c:pt idx="113">
                  <c:v>39569</c:v>
                </c:pt>
                <c:pt idx="114">
                  <c:v>39600</c:v>
                </c:pt>
                <c:pt idx="115">
                  <c:v>39630</c:v>
                </c:pt>
                <c:pt idx="116">
                  <c:v>39661</c:v>
                </c:pt>
                <c:pt idx="117">
                  <c:v>39692</c:v>
                </c:pt>
                <c:pt idx="118">
                  <c:v>39722</c:v>
                </c:pt>
                <c:pt idx="119">
                  <c:v>39753</c:v>
                </c:pt>
                <c:pt idx="120">
                  <c:v>39783</c:v>
                </c:pt>
                <c:pt idx="121">
                  <c:v>39814</c:v>
                </c:pt>
                <c:pt idx="122">
                  <c:v>39845</c:v>
                </c:pt>
                <c:pt idx="123">
                  <c:v>39873</c:v>
                </c:pt>
                <c:pt idx="124">
                  <c:v>39904</c:v>
                </c:pt>
                <c:pt idx="125">
                  <c:v>39934</c:v>
                </c:pt>
                <c:pt idx="126">
                  <c:v>39965</c:v>
                </c:pt>
                <c:pt idx="127">
                  <c:v>39995</c:v>
                </c:pt>
                <c:pt idx="128">
                  <c:v>40026</c:v>
                </c:pt>
                <c:pt idx="129">
                  <c:v>40057</c:v>
                </c:pt>
                <c:pt idx="130">
                  <c:v>40087</c:v>
                </c:pt>
                <c:pt idx="131">
                  <c:v>40118</c:v>
                </c:pt>
                <c:pt idx="132">
                  <c:v>40148</c:v>
                </c:pt>
                <c:pt idx="133">
                  <c:v>40179</c:v>
                </c:pt>
                <c:pt idx="134">
                  <c:v>40210</c:v>
                </c:pt>
                <c:pt idx="135">
                  <c:v>40238</c:v>
                </c:pt>
                <c:pt idx="136">
                  <c:v>40269</c:v>
                </c:pt>
                <c:pt idx="137">
                  <c:v>40299</c:v>
                </c:pt>
                <c:pt idx="138">
                  <c:v>40330</c:v>
                </c:pt>
                <c:pt idx="139">
                  <c:v>40360</c:v>
                </c:pt>
                <c:pt idx="140">
                  <c:v>40391</c:v>
                </c:pt>
                <c:pt idx="141">
                  <c:v>40422</c:v>
                </c:pt>
                <c:pt idx="142">
                  <c:v>40452</c:v>
                </c:pt>
                <c:pt idx="143">
                  <c:v>40483</c:v>
                </c:pt>
                <c:pt idx="144">
                  <c:v>40513</c:v>
                </c:pt>
                <c:pt idx="145">
                  <c:v>40544</c:v>
                </c:pt>
                <c:pt idx="146">
                  <c:v>40575</c:v>
                </c:pt>
                <c:pt idx="147">
                  <c:v>40603</c:v>
                </c:pt>
                <c:pt idx="148">
                  <c:v>40634</c:v>
                </c:pt>
                <c:pt idx="149">
                  <c:v>40664</c:v>
                </c:pt>
                <c:pt idx="150">
                  <c:v>40695</c:v>
                </c:pt>
                <c:pt idx="151">
                  <c:v>40725</c:v>
                </c:pt>
                <c:pt idx="152">
                  <c:v>40756</c:v>
                </c:pt>
                <c:pt idx="153">
                  <c:v>40787</c:v>
                </c:pt>
                <c:pt idx="154">
                  <c:v>40817</c:v>
                </c:pt>
                <c:pt idx="155">
                  <c:v>40848</c:v>
                </c:pt>
                <c:pt idx="156">
                  <c:v>40878</c:v>
                </c:pt>
                <c:pt idx="157">
                  <c:v>40909</c:v>
                </c:pt>
                <c:pt idx="158">
                  <c:v>40940</c:v>
                </c:pt>
                <c:pt idx="159">
                  <c:v>40969</c:v>
                </c:pt>
                <c:pt idx="160">
                  <c:v>41000</c:v>
                </c:pt>
                <c:pt idx="161">
                  <c:v>41030</c:v>
                </c:pt>
                <c:pt idx="162">
                  <c:v>41061</c:v>
                </c:pt>
                <c:pt idx="163">
                  <c:v>41091</c:v>
                </c:pt>
                <c:pt idx="164">
                  <c:v>41122</c:v>
                </c:pt>
                <c:pt idx="165">
                  <c:v>41153</c:v>
                </c:pt>
                <c:pt idx="166">
                  <c:v>41183</c:v>
                </c:pt>
                <c:pt idx="167">
                  <c:v>41214</c:v>
                </c:pt>
                <c:pt idx="168">
                  <c:v>41244</c:v>
                </c:pt>
                <c:pt idx="169">
                  <c:v>41275</c:v>
                </c:pt>
                <c:pt idx="170">
                  <c:v>41306</c:v>
                </c:pt>
                <c:pt idx="171">
                  <c:v>41334</c:v>
                </c:pt>
                <c:pt idx="172">
                  <c:v>41365</c:v>
                </c:pt>
                <c:pt idx="173">
                  <c:v>41395</c:v>
                </c:pt>
                <c:pt idx="174">
                  <c:v>41426</c:v>
                </c:pt>
                <c:pt idx="175">
                  <c:v>41456</c:v>
                </c:pt>
                <c:pt idx="176">
                  <c:v>41487</c:v>
                </c:pt>
                <c:pt idx="177">
                  <c:v>41518</c:v>
                </c:pt>
                <c:pt idx="178">
                  <c:v>41548</c:v>
                </c:pt>
                <c:pt idx="179">
                  <c:v>41579</c:v>
                </c:pt>
                <c:pt idx="180">
                  <c:v>41609</c:v>
                </c:pt>
                <c:pt idx="181">
                  <c:v>41640</c:v>
                </c:pt>
                <c:pt idx="182">
                  <c:v>41671</c:v>
                </c:pt>
                <c:pt idx="183">
                  <c:v>41699</c:v>
                </c:pt>
                <c:pt idx="184">
                  <c:v>41730</c:v>
                </c:pt>
                <c:pt idx="185">
                  <c:v>41760</c:v>
                </c:pt>
                <c:pt idx="186">
                  <c:v>41791</c:v>
                </c:pt>
                <c:pt idx="187">
                  <c:v>41821</c:v>
                </c:pt>
                <c:pt idx="188">
                  <c:v>41852</c:v>
                </c:pt>
                <c:pt idx="189">
                  <c:v>41883</c:v>
                </c:pt>
                <c:pt idx="190">
                  <c:v>41913</c:v>
                </c:pt>
                <c:pt idx="191">
                  <c:v>41944</c:v>
                </c:pt>
                <c:pt idx="192">
                  <c:v>41974</c:v>
                </c:pt>
                <c:pt idx="193">
                  <c:v>42005</c:v>
                </c:pt>
                <c:pt idx="194">
                  <c:v>42036</c:v>
                </c:pt>
                <c:pt idx="195">
                  <c:v>42064</c:v>
                </c:pt>
                <c:pt idx="196">
                  <c:v>42095</c:v>
                </c:pt>
                <c:pt idx="197">
                  <c:v>42125</c:v>
                </c:pt>
                <c:pt idx="198">
                  <c:v>42156</c:v>
                </c:pt>
                <c:pt idx="199">
                  <c:v>42186</c:v>
                </c:pt>
                <c:pt idx="200">
                  <c:v>42217</c:v>
                </c:pt>
                <c:pt idx="201">
                  <c:v>42248</c:v>
                </c:pt>
                <c:pt idx="202">
                  <c:v>42278</c:v>
                </c:pt>
                <c:pt idx="203">
                  <c:v>42309</c:v>
                </c:pt>
                <c:pt idx="204">
                  <c:v>42339</c:v>
                </c:pt>
                <c:pt idx="205">
                  <c:v>42370</c:v>
                </c:pt>
                <c:pt idx="206">
                  <c:v>42401</c:v>
                </c:pt>
                <c:pt idx="207">
                  <c:v>42430</c:v>
                </c:pt>
                <c:pt idx="208">
                  <c:v>42461</c:v>
                </c:pt>
                <c:pt idx="209">
                  <c:v>42491</c:v>
                </c:pt>
                <c:pt idx="210">
                  <c:v>42522</c:v>
                </c:pt>
                <c:pt idx="211">
                  <c:v>42552</c:v>
                </c:pt>
                <c:pt idx="212">
                  <c:v>42583</c:v>
                </c:pt>
                <c:pt idx="213">
                  <c:v>42614</c:v>
                </c:pt>
                <c:pt idx="214">
                  <c:v>42644</c:v>
                </c:pt>
                <c:pt idx="215">
                  <c:v>42675</c:v>
                </c:pt>
                <c:pt idx="216">
                  <c:v>42705</c:v>
                </c:pt>
                <c:pt idx="217">
                  <c:v>42736</c:v>
                </c:pt>
                <c:pt idx="218">
                  <c:v>42767</c:v>
                </c:pt>
                <c:pt idx="219">
                  <c:v>42795</c:v>
                </c:pt>
                <c:pt idx="220">
                  <c:v>42826</c:v>
                </c:pt>
                <c:pt idx="221">
                  <c:v>42856</c:v>
                </c:pt>
                <c:pt idx="222">
                  <c:v>42887</c:v>
                </c:pt>
                <c:pt idx="223">
                  <c:v>42917</c:v>
                </c:pt>
                <c:pt idx="224">
                  <c:v>42948</c:v>
                </c:pt>
                <c:pt idx="225">
                  <c:v>42979</c:v>
                </c:pt>
                <c:pt idx="226">
                  <c:v>43009</c:v>
                </c:pt>
              </c:numCache>
            </c:numRef>
          </c:cat>
          <c:val>
            <c:numRef>
              <c:f>Feuil1!$C$2:$C$228</c:f>
              <c:numCache>
                <c:formatCode>General</c:formatCode>
                <c:ptCount val="227"/>
                <c:pt idx="0">
                  <c:v>0.72</c:v>
                </c:pt>
                <c:pt idx="1">
                  <c:v>0.72</c:v>
                </c:pt>
                <c:pt idx="2">
                  <c:v>0.91</c:v>
                </c:pt>
                <c:pt idx="3">
                  <c:v>1.0900000000000001</c:v>
                </c:pt>
                <c:pt idx="4">
                  <c:v>0.91</c:v>
                </c:pt>
                <c:pt idx="5">
                  <c:v>0.88</c:v>
                </c:pt>
                <c:pt idx="6">
                  <c:v>1</c:v>
                </c:pt>
                <c:pt idx="7">
                  <c:v>1.0900000000000001</c:v>
                </c:pt>
                <c:pt idx="8">
                  <c:v>1.2</c:v>
                </c:pt>
                <c:pt idx="9">
                  <c:v>1.28</c:v>
                </c:pt>
                <c:pt idx="10">
                  <c:v>1.44</c:v>
                </c:pt>
                <c:pt idx="11">
                  <c:v>1.73</c:v>
                </c:pt>
                <c:pt idx="12">
                  <c:v>1.88</c:v>
                </c:pt>
                <c:pt idx="13">
                  <c:v>1.97</c:v>
                </c:pt>
                <c:pt idx="14">
                  <c:v>2.02</c:v>
                </c:pt>
                <c:pt idx="15">
                  <c:v>1.64</c:v>
                </c:pt>
                <c:pt idx="16">
                  <c:v>1.83</c:v>
                </c:pt>
                <c:pt idx="17">
                  <c:v>2.15</c:v>
                </c:pt>
                <c:pt idx="18">
                  <c:v>2.09</c:v>
                </c:pt>
                <c:pt idx="19">
                  <c:v>2.0699999999999998</c:v>
                </c:pt>
                <c:pt idx="20">
                  <c:v>2.44</c:v>
                </c:pt>
                <c:pt idx="21">
                  <c:v>2.37</c:v>
                </c:pt>
                <c:pt idx="22">
                  <c:v>2.5</c:v>
                </c:pt>
                <c:pt idx="23">
                  <c:v>2.23</c:v>
                </c:pt>
                <c:pt idx="24">
                  <c:v>2.04</c:v>
                </c:pt>
                <c:pt idx="25">
                  <c:v>2.2000000000000002</c:v>
                </c:pt>
                <c:pt idx="26">
                  <c:v>2.16</c:v>
                </c:pt>
                <c:pt idx="27">
                  <c:v>2.5499999999999998</c:v>
                </c:pt>
                <c:pt idx="28">
                  <c:v>2.86</c:v>
                </c:pt>
                <c:pt idx="29">
                  <c:v>2.67</c:v>
                </c:pt>
                <c:pt idx="30">
                  <c:v>2.58</c:v>
                </c:pt>
                <c:pt idx="31">
                  <c:v>2.46</c:v>
                </c:pt>
                <c:pt idx="32">
                  <c:v>2.19</c:v>
                </c:pt>
                <c:pt idx="34">
                  <c:v>2.14</c:v>
                </c:pt>
                <c:pt idx="35">
                  <c:v>1.82</c:v>
                </c:pt>
                <c:pt idx="36">
                  <c:v>1.96</c:v>
                </c:pt>
                <c:pt idx="37">
                  <c:v>2.64</c:v>
                </c:pt>
                <c:pt idx="38">
                  <c:v>2.46</c:v>
                </c:pt>
                <c:pt idx="39">
                  <c:v>2.4700000000000002</c:v>
                </c:pt>
                <c:pt idx="40">
                  <c:v>2.41</c:v>
                </c:pt>
                <c:pt idx="41">
                  <c:v>2.04</c:v>
                </c:pt>
                <c:pt idx="42">
                  <c:v>1.88</c:v>
                </c:pt>
                <c:pt idx="43">
                  <c:v>2.0099999999999998</c:v>
                </c:pt>
                <c:pt idx="44">
                  <c:v>2.13</c:v>
                </c:pt>
                <c:pt idx="45">
                  <c:v>2.13</c:v>
                </c:pt>
                <c:pt idx="46">
                  <c:v>2.27</c:v>
                </c:pt>
                <c:pt idx="47">
                  <c:v>2.2799999999999998</c:v>
                </c:pt>
                <c:pt idx="48">
                  <c:v>2.2799999999999998</c:v>
                </c:pt>
                <c:pt idx="49">
                  <c:v>2.14</c:v>
                </c:pt>
                <c:pt idx="50">
                  <c:v>2.35</c:v>
                </c:pt>
                <c:pt idx="51">
                  <c:v>2.41</c:v>
                </c:pt>
                <c:pt idx="52">
                  <c:v>1.97</c:v>
                </c:pt>
                <c:pt idx="53">
                  <c:v>1.83</c:v>
                </c:pt>
                <c:pt idx="54">
                  <c:v>1.97</c:v>
                </c:pt>
                <c:pt idx="55">
                  <c:v>1.97</c:v>
                </c:pt>
                <c:pt idx="56">
                  <c:v>2.0299999999999998</c:v>
                </c:pt>
                <c:pt idx="57">
                  <c:v>2.06</c:v>
                </c:pt>
                <c:pt idx="58">
                  <c:v>1.98</c:v>
                </c:pt>
                <c:pt idx="59">
                  <c:v>2.09</c:v>
                </c:pt>
                <c:pt idx="60">
                  <c:v>1.98</c:v>
                </c:pt>
                <c:pt idx="61">
                  <c:v>1.85</c:v>
                </c:pt>
                <c:pt idx="62">
                  <c:v>1.67</c:v>
                </c:pt>
                <c:pt idx="63">
                  <c:v>1.67</c:v>
                </c:pt>
                <c:pt idx="64">
                  <c:v>2.1</c:v>
                </c:pt>
                <c:pt idx="65">
                  <c:v>2.42</c:v>
                </c:pt>
                <c:pt idx="66">
                  <c:v>2.36</c:v>
                </c:pt>
                <c:pt idx="67">
                  <c:v>2.34</c:v>
                </c:pt>
                <c:pt idx="68">
                  <c:v>2.34</c:v>
                </c:pt>
                <c:pt idx="69">
                  <c:v>2.12</c:v>
                </c:pt>
                <c:pt idx="70">
                  <c:v>2.33</c:v>
                </c:pt>
                <c:pt idx="71">
                  <c:v>2.2200000000000002</c:v>
                </c:pt>
                <c:pt idx="72">
                  <c:v>2.2799999999999998</c:v>
                </c:pt>
                <c:pt idx="73">
                  <c:v>1.97</c:v>
                </c:pt>
                <c:pt idx="74">
                  <c:v>2.08</c:v>
                </c:pt>
                <c:pt idx="75">
                  <c:v>2.14</c:v>
                </c:pt>
                <c:pt idx="76">
                  <c:v>2.1</c:v>
                </c:pt>
                <c:pt idx="77">
                  <c:v>1.91</c:v>
                </c:pt>
                <c:pt idx="78">
                  <c:v>2.0099999999999998</c:v>
                </c:pt>
                <c:pt idx="79">
                  <c:v>2.16</c:v>
                </c:pt>
                <c:pt idx="80">
                  <c:v>2.2000000000000002</c:v>
                </c:pt>
                <c:pt idx="81">
                  <c:v>2.59</c:v>
                </c:pt>
                <c:pt idx="82">
                  <c:v>2.41</c:v>
                </c:pt>
                <c:pt idx="83">
                  <c:v>2.25</c:v>
                </c:pt>
                <c:pt idx="84">
                  <c:v>2.23</c:v>
                </c:pt>
                <c:pt idx="85">
                  <c:v>2.46</c:v>
                </c:pt>
                <c:pt idx="86">
                  <c:v>2.37</c:v>
                </c:pt>
                <c:pt idx="87">
                  <c:v>2.1800000000000002</c:v>
                </c:pt>
                <c:pt idx="88">
                  <c:v>2.34</c:v>
                </c:pt>
                <c:pt idx="89">
                  <c:v>2.4900000000000002</c:v>
                </c:pt>
                <c:pt idx="90">
                  <c:v>2.46</c:v>
                </c:pt>
                <c:pt idx="91">
                  <c:v>2.4700000000000002</c:v>
                </c:pt>
                <c:pt idx="92">
                  <c:v>2.2999999999999998</c:v>
                </c:pt>
                <c:pt idx="93">
                  <c:v>1.76</c:v>
                </c:pt>
                <c:pt idx="94">
                  <c:v>1.59</c:v>
                </c:pt>
                <c:pt idx="95">
                  <c:v>1.85</c:v>
                </c:pt>
                <c:pt idx="96">
                  <c:v>1.88</c:v>
                </c:pt>
                <c:pt idx="97">
                  <c:v>1.87</c:v>
                </c:pt>
                <c:pt idx="98">
                  <c:v>1.86</c:v>
                </c:pt>
                <c:pt idx="99">
                  <c:v>1.9</c:v>
                </c:pt>
                <c:pt idx="100">
                  <c:v>1.95</c:v>
                </c:pt>
                <c:pt idx="101">
                  <c:v>1.89</c:v>
                </c:pt>
                <c:pt idx="102">
                  <c:v>1.89</c:v>
                </c:pt>
                <c:pt idx="103">
                  <c:v>1.81</c:v>
                </c:pt>
                <c:pt idx="104">
                  <c:v>1.75</c:v>
                </c:pt>
                <c:pt idx="105">
                  <c:v>2.11</c:v>
                </c:pt>
                <c:pt idx="106">
                  <c:v>2.5</c:v>
                </c:pt>
                <c:pt idx="107">
                  <c:v>3.03</c:v>
                </c:pt>
                <c:pt idx="108">
                  <c:v>3.05</c:v>
                </c:pt>
                <c:pt idx="109">
                  <c:v>3.24</c:v>
                </c:pt>
                <c:pt idx="110">
                  <c:v>3.23</c:v>
                </c:pt>
                <c:pt idx="111">
                  <c:v>3.49</c:v>
                </c:pt>
                <c:pt idx="112">
                  <c:v>3.26</c:v>
                </c:pt>
                <c:pt idx="113">
                  <c:v>3.67</c:v>
                </c:pt>
                <c:pt idx="114">
                  <c:v>3.99</c:v>
                </c:pt>
                <c:pt idx="115">
                  <c:v>4.0599999999999996</c:v>
                </c:pt>
                <c:pt idx="116">
                  <c:v>3.81</c:v>
                </c:pt>
                <c:pt idx="117">
                  <c:v>3.65</c:v>
                </c:pt>
                <c:pt idx="118">
                  <c:v>3.15</c:v>
                </c:pt>
                <c:pt idx="119">
                  <c:v>2.1</c:v>
                </c:pt>
                <c:pt idx="120">
                  <c:v>1.58</c:v>
                </c:pt>
                <c:pt idx="121">
                  <c:v>1.17</c:v>
                </c:pt>
                <c:pt idx="122">
                  <c:v>1.22</c:v>
                </c:pt>
                <c:pt idx="123">
                  <c:v>0.62</c:v>
                </c:pt>
                <c:pt idx="124">
                  <c:v>0.54</c:v>
                </c:pt>
                <c:pt idx="125">
                  <c:v>0.03</c:v>
                </c:pt>
                <c:pt idx="126">
                  <c:v>-0.16</c:v>
                </c:pt>
                <c:pt idx="127">
                  <c:v>-0.63</c:v>
                </c:pt>
                <c:pt idx="128">
                  <c:v>-0.2</c:v>
                </c:pt>
                <c:pt idx="129">
                  <c:v>-0.35</c:v>
                </c:pt>
                <c:pt idx="130">
                  <c:v>-0.15</c:v>
                </c:pt>
                <c:pt idx="131">
                  <c:v>0.46</c:v>
                </c:pt>
                <c:pt idx="132">
                  <c:v>0.9</c:v>
                </c:pt>
                <c:pt idx="133">
                  <c:v>1.1200000000000001</c:v>
                </c:pt>
                <c:pt idx="134">
                  <c:v>0.98</c:v>
                </c:pt>
                <c:pt idx="135">
                  <c:v>1.45</c:v>
                </c:pt>
                <c:pt idx="136">
                  <c:v>1.66</c:v>
                </c:pt>
                <c:pt idx="137">
                  <c:v>1.65</c:v>
                </c:pt>
                <c:pt idx="138">
                  <c:v>1.43</c:v>
                </c:pt>
                <c:pt idx="139">
                  <c:v>1.75</c:v>
                </c:pt>
                <c:pt idx="140">
                  <c:v>1.6</c:v>
                </c:pt>
                <c:pt idx="141">
                  <c:v>1.77</c:v>
                </c:pt>
                <c:pt idx="142">
                  <c:v>1.9</c:v>
                </c:pt>
                <c:pt idx="143">
                  <c:v>1.91</c:v>
                </c:pt>
                <c:pt idx="144">
                  <c:v>2.2000000000000002</c:v>
                </c:pt>
                <c:pt idx="145">
                  <c:v>2.42</c:v>
                </c:pt>
                <c:pt idx="146">
                  <c:v>2.62</c:v>
                </c:pt>
                <c:pt idx="147">
                  <c:v>2.66</c:v>
                </c:pt>
                <c:pt idx="148">
                  <c:v>2.63</c:v>
                </c:pt>
                <c:pt idx="149">
                  <c:v>2.65</c:v>
                </c:pt>
                <c:pt idx="150">
                  <c:v>2.62</c:v>
                </c:pt>
                <c:pt idx="151">
                  <c:v>2.69</c:v>
                </c:pt>
                <c:pt idx="152">
                  <c:v>2.74</c:v>
                </c:pt>
                <c:pt idx="153">
                  <c:v>2.89</c:v>
                </c:pt>
                <c:pt idx="154">
                  <c:v>2.95</c:v>
                </c:pt>
                <c:pt idx="155">
                  <c:v>2.96</c:v>
                </c:pt>
                <c:pt idx="156">
                  <c:v>2.73</c:v>
                </c:pt>
                <c:pt idx="157">
                  <c:v>2.66</c:v>
                </c:pt>
                <c:pt idx="158">
                  <c:v>2.75</c:v>
                </c:pt>
                <c:pt idx="159">
                  <c:v>2.67</c:v>
                </c:pt>
                <c:pt idx="160">
                  <c:v>2.62</c:v>
                </c:pt>
                <c:pt idx="161">
                  <c:v>2.44</c:v>
                </c:pt>
                <c:pt idx="162">
                  <c:v>2.39</c:v>
                </c:pt>
                <c:pt idx="163">
                  <c:v>2.38</c:v>
                </c:pt>
                <c:pt idx="164">
                  <c:v>2.6</c:v>
                </c:pt>
                <c:pt idx="165">
                  <c:v>2.61</c:v>
                </c:pt>
                <c:pt idx="166">
                  <c:v>2.5</c:v>
                </c:pt>
                <c:pt idx="167">
                  <c:v>2.21</c:v>
                </c:pt>
                <c:pt idx="168">
                  <c:v>2.2200000000000002</c:v>
                </c:pt>
                <c:pt idx="169">
                  <c:v>2.02</c:v>
                </c:pt>
                <c:pt idx="170">
                  <c:v>1.84</c:v>
                </c:pt>
                <c:pt idx="171">
                  <c:v>1.65</c:v>
                </c:pt>
                <c:pt idx="172">
                  <c:v>1.29</c:v>
                </c:pt>
                <c:pt idx="173">
                  <c:v>1.44</c:v>
                </c:pt>
                <c:pt idx="174">
                  <c:v>1.59</c:v>
                </c:pt>
                <c:pt idx="175">
                  <c:v>1.56</c:v>
                </c:pt>
                <c:pt idx="176">
                  <c:v>1.27</c:v>
                </c:pt>
                <c:pt idx="177">
                  <c:v>1.06</c:v>
                </c:pt>
                <c:pt idx="178">
                  <c:v>0.76</c:v>
                </c:pt>
                <c:pt idx="179">
                  <c:v>0.83</c:v>
                </c:pt>
                <c:pt idx="180">
                  <c:v>0.9</c:v>
                </c:pt>
                <c:pt idx="181">
                  <c:v>0.79</c:v>
                </c:pt>
                <c:pt idx="182">
                  <c:v>0.7</c:v>
                </c:pt>
                <c:pt idx="183">
                  <c:v>0.52</c:v>
                </c:pt>
                <c:pt idx="184">
                  <c:v>0.65</c:v>
                </c:pt>
                <c:pt idx="185">
                  <c:v>0.53</c:v>
                </c:pt>
                <c:pt idx="186">
                  <c:v>0.47</c:v>
                </c:pt>
                <c:pt idx="187">
                  <c:v>0.32</c:v>
                </c:pt>
                <c:pt idx="188">
                  <c:v>0.28999999999999998</c:v>
                </c:pt>
                <c:pt idx="189">
                  <c:v>0.31</c:v>
                </c:pt>
                <c:pt idx="190">
                  <c:v>0.38</c:v>
                </c:pt>
                <c:pt idx="191">
                  <c:v>0.28999999999999998</c:v>
                </c:pt>
                <c:pt idx="192">
                  <c:v>-0.16</c:v>
                </c:pt>
                <c:pt idx="193">
                  <c:v>-0.6</c:v>
                </c:pt>
                <c:pt idx="194">
                  <c:v>-0.28000000000000003</c:v>
                </c:pt>
                <c:pt idx="195">
                  <c:v>-0.05</c:v>
                </c:pt>
                <c:pt idx="196">
                  <c:v>0.02</c:v>
                </c:pt>
                <c:pt idx="197">
                  <c:v>0.31</c:v>
                </c:pt>
                <c:pt idx="198">
                  <c:v>0.26</c:v>
                </c:pt>
                <c:pt idx="199">
                  <c:v>0.21</c:v>
                </c:pt>
                <c:pt idx="200">
                  <c:v>0.09</c:v>
                </c:pt>
                <c:pt idx="201">
                  <c:v>-0.08</c:v>
                </c:pt>
                <c:pt idx="202">
                  <c:v>0.12</c:v>
                </c:pt>
                <c:pt idx="203">
                  <c:v>0.18</c:v>
                </c:pt>
                <c:pt idx="204">
                  <c:v>0.24</c:v>
                </c:pt>
                <c:pt idx="205">
                  <c:v>0.33</c:v>
                </c:pt>
                <c:pt idx="206">
                  <c:v>-0.13</c:v>
                </c:pt>
                <c:pt idx="207">
                  <c:v>-0.06</c:v>
                </c:pt>
                <c:pt idx="208">
                  <c:v>-0.17</c:v>
                </c:pt>
                <c:pt idx="209">
                  <c:v>-0.1</c:v>
                </c:pt>
                <c:pt idx="210">
                  <c:v>0.09</c:v>
                </c:pt>
                <c:pt idx="211">
                  <c:v>0.15</c:v>
                </c:pt>
                <c:pt idx="212">
                  <c:v>0.22</c:v>
                </c:pt>
                <c:pt idx="213">
                  <c:v>0.4</c:v>
                </c:pt>
                <c:pt idx="214">
                  <c:v>0.51</c:v>
                </c:pt>
                <c:pt idx="215">
                  <c:v>0.57999999999999996</c:v>
                </c:pt>
                <c:pt idx="216">
                  <c:v>1.1399999999999999</c:v>
                </c:pt>
                <c:pt idx="217">
                  <c:v>1.72</c:v>
                </c:pt>
                <c:pt idx="218">
                  <c:v>1.98</c:v>
                </c:pt>
                <c:pt idx="219">
                  <c:v>1.59</c:v>
                </c:pt>
                <c:pt idx="220">
                  <c:v>1.82</c:v>
                </c:pt>
                <c:pt idx="221">
                  <c:v>1.42</c:v>
                </c:pt>
                <c:pt idx="222">
                  <c:v>1.24</c:v>
                </c:pt>
                <c:pt idx="223">
                  <c:v>1.29</c:v>
                </c:pt>
                <c:pt idx="224">
                  <c:v>1.46</c:v>
                </c:pt>
                <c:pt idx="225">
                  <c:v>1.53</c:v>
                </c:pt>
                <c:pt idx="226">
                  <c:v>1.38</c:v>
                </c:pt>
              </c:numCache>
            </c:numRef>
          </c:val>
          <c:smooth val="0"/>
          <c:extLst>
            <c:ext xmlns:c16="http://schemas.microsoft.com/office/drawing/2014/chart" uri="{C3380CC4-5D6E-409C-BE32-E72D297353CC}">
              <c16:uniqueId val="{00000002-9FF3-4FD0-9C54-5384B7DC4120}"/>
            </c:ext>
          </c:extLst>
        </c:ser>
        <c:ser>
          <c:idx val="2"/>
          <c:order val="1"/>
          <c:tx>
            <c:strRef>
              <c:f>Feuil1!$D$1</c:f>
              <c:strCache>
                <c:ptCount val="1"/>
                <c:pt idx="0">
                  <c:v>Principal taux d'intérêt directeur de la BCE (en %)</c:v>
                </c:pt>
              </c:strCache>
            </c:strRef>
          </c:tx>
          <c:spPr>
            <a:ln w="28575" cap="rnd">
              <a:solidFill>
                <a:schemeClr val="tx1"/>
              </a:solidFill>
              <a:round/>
            </a:ln>
            <a:effectLst/>
          </c:spPr>
          <c:marker>
            <c:symbol val="none"/>
          </c:marker>
          <c:cat>
            <c:numRef>
              <c:f>Feuil1!$A$2:$A$228</c:f>
              <c:numCache>
                <c:formatCode>m/d/yyyy</c:formatCode>
                <c:ptCount val="227"/>
                <c:pt idx="0">
                  <c:v>36161</c:v>
                </c:pt>
                <c:pt idx="1">
                  <c:v>36192</c:v>
                </c:pt>
                <c:pt idx="2">
                  <c:v>36220</c:v>
                </c:pt>
                <c:pt idx="3">
                  <c:v>36251</c:v>
                </c:pt>
                <c:pt idx="4">
                  <c:v>36281</c:v>
                </c:pt>
                <c:pt idx="5">
                  <c:v>36312</c:v>
                </c:pt>
                <c:pt idx="6">
                  <c:v>36342</c:v>
                </c:pt>
                <c:pt idx="7">
                  <c:v>36373</c:v>
                </c:pt>
                <c:pt idx="8">
                  <c:v>36404</c:v>
                </c:pt>
                <c:pt idx="9">
                  <c:v>36434</c:v>
                </c:pt>
                <c:pt idx="10">
                  <c:v>36465</c:v>
                </c:pt>
                <c:pt idx="11">
                  <c:v>36495</c:v>
                </c:pt>
                <c:pt idx="12">
                  <c:v>36526</c:v>
                </c:pt>
                <c:pt idx="13">
                  <c:v>36557</c:v>
                </c:pt>
                <c:pt idx="14">
                  <c:v>36586</c:v>
                </c:pt>
                <c:pt idx="15">
                  <c:v>36617</c:v>
                </c:pt>
                <c:pt idx="16">
                  <c:v>36647</c:v>
                </c:pt>
                <c:pt idx="17">
                  <c:v>36678</c:v>
                </c:pt>
                <c:pt idx="18">
                  <c:v>36708</c:v>
                </c:pt>
                <c:pt idx="19">
                  <c:v>36739</c:v>
                </c:pt>
                <c:pt idx="20">
                  <c:v>36770</c:v>
                </c:pt>
                <c:pt idx="21">
                  <c:v>36800</c:v>
                </c:pt>
                <c:pt idx="22">
                  <c:v>36831</c:v>
                </c:pt>
                <c:pt idx="23">
                  <c:v>36861</c:v>
                </c:pt>
                <c:pt idx="24">
                  <c:v>36892</c:v>
                </c:pt>
                <c:pt idx="25">
                  <c:v>36923</c:v>
                </c:pt>
                <c:pt idx="26">
                  <c:v>36951</c:v>
                </c:pt>
                <c:pt idx="27">
                  <c:v>36982</c:v>
                </c:pt>
                <c:pt idx="28">
                  <c:v>37012</c:v>
                </c:pt>
                <c:pt idx="29">
                  <c:v>37043</c:v>
                </c:pt>
                <c:pt idx="30">
                  <c:v>37073</c:v>
                </c:pt>
                <c:pt idx="31">
                  <c:v>37104</c:v>
                </c:pt>
                <c:pt idx="32">
                  <c:v>37135</c:v>
                </c:pt>
                <c:pt idx="33">
                  <c:v>37152</c:v>
                </c:pt>
                <c:pt idx="34">
                  <c:v>37165</c:v>
                </c:pt>
                <c:pt idx="35">
                  <c:v>37196</c:v>
                </c:pt>
                <c:pt idx="36">
                  <c:v>37226</c:v>
                </c:pt>
                <c:pt idx="37">
                  <c:v>37257</c:v>
                </c:pt>
                <c:pt idx="38">
                  <c:v>37288</c:v>
                </c:pt>
                <c:pt idx="39">
                  <c:v>37316</c:v>
                </c:pt>
                <c:pt idx="40">
                  <c:v>37347</c:v>
                </c:pt>
                <c:pt idx="41">
                  <c:v>37377</c:v>
                </c:pt>
                <c:pt idx="42">
                  <c:v>37408</c:v>
                </c:pt>
                <c:pt idx="43">
                  <c:v>37438</c:v>
                </c:pt>
                <c:pt idx="44">
                  <c:v>37469</c:v>
                </c:pt>
                <c:pt idx="45">
                  <c:v>37500</c:v>
                </c:pt>
                <c:pt idx="46">
                  <c:v>37530</c:v>
                </c:pt>
                <c:pt idx="47">
                  <c:v>37561</c:v>
                </c:pt>
                <c:pt idx="48">
                  <c:v>37591</c:v>
                </c:pt>
                <c:pt idx="49">
                  <c:v>37622</c:v>
                </c:pt>
                <c:pt idx="50">
                  <c:v>37653</c:v>
                </c:pt>
                <c:pt idx="51">
                  <c:v>37681</c:v>
                </c:pt>
                <c:pt idx="52">
                  <c:v>37712</c:v>
                </c:pt>
                <c:pt idx="53">
                  <c:v>37742</c:v>
                </c:pt>
                <c:pt idx="54">
                  <c:v>37773</c:v>
                </c:pt>
                <c:pt idx="55">
                  <c:v>37803</c:v>
                </c:pt>
                <c:pt idx="56">
                  <c:v>37834</c:v>
                </c:pt>
                <c:pt idx="57">
                  <c:v>37865</c:v>
                </c:pt>
                <c:pt idx="58">
                  <c:v>37895</c:v>
                </c:pt>
                <c:pt idx="59">
                  <c:v>37926</c:v>
                </c:pt>
                <c:pt idx="60">
                  <c:v>37956</c:v>
                </c:pt>
                <c:pt idx="61">
                  <c:v>37987</c:v>
                </c:pt>
                <c:pt idx="62">
                  <c:v>38018</c:v>
                </c:pt>
                <c:pt idx="63">
                  <c:v>38047</c:v>
                </c:pt>
                <c:pt idx="64">
                  <c:v>38078</c:v>
                </c:pt>
                <c:pt idx="65">
                  <c:v>38108</c:v>
                </c:pt>
                <c:pt idx="66">
                  <c:v>38139</c:v>
                </c:pt>
                <c:pt idx="67">
                  <c:v>38169</c:v>
                </c:pt>
                <c:pt idx="68">
                  <c:v>38200</c:v>
                </c:pt>
                <c:pt idx="69">
                  <c:v>38231</c:v>
                </c:pt>
                <c:pt idx="70">
                  <c:v>38261</c:v>
                </c:pt>
                <c:pt idx="71">
                  <c:v>38292</c:v>
                </c:pt>
                <c:pt idx="72">
                  <c:v>38322</c:v>
                </c:pt>
                <c:pt idx="73">
                  <c:v>38353</c:v>
                </c:pt>
                <c:pt idx="74">
                  <c:v>38384</c:v>
                </c:pt>
                <c:pt idx="75">
                  <c:v>38412</c:v>
                </c:pt>
                <c:pt idx="76">
                  <c:v>38443</c:v>
                </c:pt>
                <c:pt idx="77">
                  <c:v>38473</c:v>
                </c:pt>
                <c:pt idx="78">
                  <c:v>38504</c:v>
                </c:pt>
                <c:pt idx="79">
                  <c:v>38534</c:v>
                </c:pt>
                <c:pt idx="80">
                  <c:v>38565</c:v>
                </c:pt>
                <c:pt idx="81">
                  <c:v>38596</c:v>
                </c:pt>
                <c:pt idx="82">
                  <c:v>38626</c:v>
                </c:pt>
                <c:pt idx="83">
                  <c:v>38657</c:v>
                </c:pt>
                <c:pt idx="84">
                  <c:v>38687</c:v>
                </c:pt>
                <c:pt idx="85">
                  <c:v>38718</c:v>
                </c:pt>
                <c:pt idx="86">
                  <c:v>38749</c:v>
                </c:pt>
                <c:pt idx="87">
                  <c:v>38777</c:v>
                </c:pt>
                <c:pt idx="88">
                  <c:v>38808</c:v>
                </c:pt>
                <c:pt idx="89">
                  <c:v>38838</c:v>
                </c:pt>
                <c:pt idx="90">
                  <c:v>38869</c:v>
                </c:pt>
                <c:pt idx="91">
                  <c:v>38899</c:v>
                </c:pt>
                <c:pt idx="92">
                  <c:v>38930</c:v>
                </c:pt>
                <c:pt idx="93">
                  <c:v>38961</c:v>
                </c:pt>
                <c:pt idx="94">
                  <c:v>38991</c:v>
                </c:pt>
                <c:pt idx="95">
                  <c:v>39022</c:v>
                </c:pt>
                <c:pt idx="96">
                  <c:v>39052</c:v>
                </c:pt>
                <c:pt idx="97">
                  <c:v>39083</c:v>
                </c:pt>
                <c:pt idx="98">
                  <c:v>39114</c:v>
                </c:pt>
                <c:pt idx="99">
                  <c:v>39142</c:v>
                </c:pt>
                <c:pt idx="100">
                  <c:v>39173</c:v>
                </c:pt>
                <c:pt idx="101">
                  <c:v>39203</c:v>
                </c:pt>
                <c:pt idx="102">
                  <c:v>39234</c:v>
                </c:pt>
                <c:pt idx="103">
                  <c:v>39264</c:v>
                </c:pt>
                <c:pt idx="104">
                  <c:v>39295</c:v>
                </c:pt>
                <c:pt idx="105">
                  <c:v>39326</c:v>
                </c:pt>
                <c:pt idx="106">
                  <c:v>39356</c:v>
                </c:pt>
                <c:pt idx="107">
                  <c:v>39387</c:v>
                </c:pt>
                <c:pt idx="108">
                  <c:v>39417</c:v>
                </c:pt>
                <c:pt idx="109">
                  <c:v>39448</c:v>
                </c:pt>
                <c:pt idx="110">
                  <c:v>39479</c:v>
                </c:pt>
                <c:pt idx="111">
                  <c:v>39508</c:v>
                </c:pt>
                <c:pt idx="112">
                  <c:v>39539</c:v>
                </c:pt>
                <c:pt idx="113">
                  <c:v>39569</c:v>
                </c:pt>
                <c:pt idx="114">
                  <c:v>39600</c:v>
                </c:pt>
                <c:pt idx="115">
                  <c:v>39630</c:v>
                </c:pt>
                <c:pt idx="116">
                  <c:v>39661</c:v>
                </c:pt>
                <c:pt idx="117">
                  <c:v>39692</c:v>
                </c:pt>
                <c:pt idx="118">
                  <c:v>39722</c:v>
                </c:pt>
                <c:pt idx="119">
                  <c:v>39753</c:v>
                </c:pt>
                <c:pt idx="120">
                  <c:v>39783</c:v>
                </c:pt>
                <c:pt idx="121">
                  <c:v>39814</c:v>
                </c:pt>
                <c:pt idx="122">
                  <c:v>39845</c:v>
                </c:pt>
                <c:pt idx="123">
                  <c:v>39873</c:v>
                </c:pt>
                <c:pt idx="124">
                  <c:v>39904</c:v>
                </c:pt>
                <c:pt idx="125">
                  <c:v>39934</c:v>
                </c:pt>
                <c:pt idx="126">
                  <c:v>39965</c:v>
                </c:pt>
                <c:pt idx="127">
                  <c:v>39995</c:v>
                </c:pt>
                <c:pt idx="128">
                  <c:v>40026</c:v>
                </c:pt>
                <c:pt idx="129">
                  <c:v>40057</c:v>
                </c:pt>
                <c:pt idx="130">
                  <c:v>40087</c:v>
                </c:pt>
                <c:pt idx="131">
                  <c:v>40118</c:v>
                </c:pt>
                <c:pt idx="132">
                  <c:v>40148</c:v>
                </c:pt>
                <c:pt idx="133">
                  <c:v>40179</c:v>
                </c:pt>
                <c:pt idx="134">
                  <c:v>40210</c:v>
                </c:pt>
                <c:pt idx="135">
                  <c:v>40238</c:v>
                </c:pt>
                <c:pt idx="136">
                  <c:v>40269</c:v>
                </c:pt>
                <c:pt idx="137">
                  <c:v>40299</c:v>
                </c:pt>
                <c:pt idx="138">
                  <c:v>40330</c:v>
                </c:pt>
                <c:pt idx="139">
                  <c:v>40360</c:v>
                </c:pt>
                <c:pt idx="140">
                  <c:v>40391</c:v>
                </c:pt>
                <c:pt idx="141">
                  <c:v>40422</c:v>
                </c:pt>
                <c:pt idx="142">
                  <c:v>40452</c:v>
                </c:pt>
                <c:pt idx="143">
                  <c:v>40483</c:v>
                </c:pt>
                <c:pt idx="144">
                  <c:v>40513</c:v>
                </c:pt>
                <c:pt idx="145">
                  <c:v>40544</c:v>
                </c:pt>
                <c:pt idx="146">
                  <c:v>40575</c:v>
                </c:pt>
                <c:pt idx="147">
                  <c:v>40603</c:v>
                </c:pt>
                <c:pt idx="148">
                  <c:v>40634</c:v>
                </c:pt>
                <c:pt idx="149">
                  <c:v>40664</c:v>
                </c:pt>
                <c:pt idx="150">
                  <c:v>40695</c:v>
                </c:pt>
                <c:pt idx="151">
                  <c:v>40725</c:v>
                </c:pt>
                <c:pt idx="152">
                  <c:v>40756</c:v>
                </c:pt>
                <c:pt idx="153">
                  <c:v>40787</c:v>
                </c:pt>
                <c:pt idx="154">
                  <c:v>40817</c:v>
                </c:pt>
                <c:pt idx="155">
                  <c:v>40848</c:v>
                </c:pt>
                <c:pt idx="156">
                  <c:v>40878</c:v>
                </c:pt>
                <c:pt idx="157">
                  <c:v>40909</c:v>
                </c:pt>
                <c:pt idx="158">
                  <c:v>40940</c:v>
                </c:pt>
                <c:pt idx="159">
                  <c:v>40969</c:v>
                </c:pt>
                <c:pt idx="160">
                  <c:v>41000</c:v>
                </c:pt>
                <c:pt idx="161">
                  <c:v>41030</c:v>
                </c:pt>
                <c:pt idx="162">
                  <c:v>41061</c:v>
                </c:pt>
                <c:pt idx="163">
                  <c:v>41091</c:v>
                </c:pt>
                <c:pt idx="164">
                  <c:v>41122</c:v>
                </c:pt>
                <c:pt idx="165">
                  <c:v>41153</c:v>
                </c:pt>
                <c:pt idx="166">
                  <c:v>41183</c:v>
                </c:pt>
                <c:pt idx="167">
                  <c:v>41214</c:v>
                </c:pt>
                <c:pt idx="168">
                  <c:v>41244</c:v>
                </c:pt>
                <c:pt idx="169">
                  <c:v>41275</c:v>
                </c:pt>
                <c:pt idx="170">
                  <c:v>41306</c:v>
                </c:pt>
                <c:pt idx="171">
                  <c:v>41334</c:v>
                </c:pt>
                <c:pt idx="172">
                  <c:v>41365</c:v>
                </c:pt>
                <c:pt idx="173">
                  <c:v>41395</c:v>
                </c:pt>
                <c:pt idx="174">
                  <c:v>41426</c:v>
                </c:pt>
                <c:pt idx="175">
                  <c:v>41456</c:v>
                </c:pt>
                <c:pt idx="176">
                  <c:v>41487</c:v>
                </c:pt>
                <c:pt idx="177">
                  <c:v>41518</c:v>
                </c:pt>
                <c:pt idx="178">
                  <c:v>41548</c:v>
                </c:pt>
                <c:pt idx="179">
                  <c:v>41579</c:v>
                </c:pt>
                <c:pt idx="180">
                  <c:v>41609</c:v>
                </c:pt>
                <c:pt idx="181">
                  <c:v>41640</c:v>
                </c:pt>
                <c:pt idx="182">
                  <c:v>41671</c:v>
                </c:pt>
                <c:pt idx="183">
                  <c:v>41699</c:v>
                </c:pt>
                <c:pt idx="184">
                  <c:v>41730</c:v>
                </c:pt>
                <c:pt idx="185">
                  <c:v>41760</c:v>
                </c:pt>
                <c:pt idx="186">
                  <c:v>41791</c:v>
                </c:pt>
                <c:pt idx="187">
                  <c:v>41821</c:v>
                </c:pt>
                <c:pt idx="188">
                  <c:v>41852</c:v>
                </c:pt>
                <c:pt idx="189">
                  <c:v>41883</c:v>
                </c:pt>
                <c:pt idx="190">
                  <c:v>41913</c:v>
                </c:pt>
                <c:pt idx="191">
                  <c:v>41944</c:v>
                </c:pt>
                <c:pt idx="192">
                  <c:v>41974</c:v>
                </c:pt>
                <c:pt idx="193">
                  <c:v>42005</c:v>
                </c:pt>
                <c:pt idx="194">
                  <c:v>42036</c:v>
                </c:pt>
                <c:pt idx="195">
                  <c:v>42064</c:v>
                </c:pt>
                <c:pt idx="196">
                  <c:v>42095</c:v>
                </c:pt>
                <c:pt idx="197">
                  <c:v>42125</c:v>
                </c:pt>
                <c:pt idx="198">
                  <c:v>42156</c:v>
                </c:pt>
                <c:pt idx="199">
                  <c:v>42186</c:v>
                </c:pt>
                <c:pt idx="200">
                  <c:v>42217</c:v>
                </c:pt>
                <c:pt idx="201">
                  <c:v>42248</c:v>
                </c:pt>
                <c:pt idx="202">
                  <c:v>42278</c:v>
                </c:pt>
                <c:pt idx="203">
                  <c:v>42309</c:v>
                </c:pt>
                <c:pt idx="204">
                  <c:v>42339</c:v>
                </c:pt>
                <c:pt idx="205">
                  <c:v>42370</c:v>
                </c:pt>
                <c:pt idx="206">
                  <c:v>42401</c:v>
                </c:pt>
                <c:pt idx="207">
                  <c:v>42430</c:v>
                </c:pt>
                <c:pt idx="208">
                  <c:v>42461</c:v>
                </c:pt>
                <c:pt idx="209">
                  <c:v>42491</c:v>
                </c:pt>
                <c:pt idx="210">
                  <c:v>42522</c:v>
                </c:pt>
                <c:pt idx="211">
                  <c:v>42552</c:v>
                </c:pt>
                <c:pt idx="212">
                  <c:v>42583</c:v>
                </c:pt>
                <c:pt idx="213">
                  <c:v>42614</c:v>
                </c:pt>
                <c:pt idx="214">
                  <c:v>42644</c:v>
                </c:pt>
                <c:pt idx="215">
                  <c:v>42675</c:v>
                </c:pt>
                <c:pt idx="216">
                  <c:v>42705</c:v>
                </c:pt>
                <c:pt idx="217">
                  <c:v>42736</c:v>
                </c:pt>
                <c:pt idx="218">
                  <c:v>42767</c:v>
                </c:pt>
                <c:pt idx="219">
                  <c:v>42795</c:v>
                </c:pt>
                <c:pt idx="220">
                  <c:v>42826</c:v>
                </c:pt>
                <c:pt idx="221">
                  <c:v>42856</c:v>
                </c:pt>
                <c:pt idx="222">
                  <c:v>42887</c:v>
                </c:pt>
                <c:pt idx="223">
                  <c:v>42917</c:v>
                </c:pt>
                <c:pt idx="224">
                  <c:v>42948</c:v>
                </c:pt>
                <c:pt idx="225">
                  <c:v>42979</c:v>
                </c:pt>
                <c:pt idx="226">
                  <c:v>43009</c:v>
                </c:pt>
              </c:numCache>
            </c:numRef>
          </c:cat>
          <c:val>
            <c:numRef>
              <c:f>Feuil1!$D$2:$D$228</c:f>
              <c:numCache>
                <c:formatCode>General</c:formatCode>
                <c:ptCount val="227"/>
                <c:pt idx="0">
                  <c:v>3</c:v>
                </c:pt>
                <c:pt idx="1">
                  <c:v>3</c:v>
                </c:pt>
                <c:pt idx="2">
                  <c:v>3</c:v>
                </c:pt>
                <c:pt idx="3">
                  <c:v>2.5</c:v>
                </c:pt>
                <c:pt idx="4">
                  <c:v>2.5</c:v>
                </c:pt>
                <c:pt idx="5">
                  <c:v>2.5</c:v>
                </c:pt>
                <c:pt idx="6">
                  <c:v>2.5</c:v>
                </c:pt>
                <c:pt idx="7">
                  <c:v>2.5</c:v>
                </c:pt>
                <c:pt idx="8">
                  <c:v>2.5</c:v>
                </c:pt>
                <c:pt idx="9">
                  <c:v>2.5</c:v>
                </c:pt>
                <c:pt idx="10">
                  <c:v>3</c:v>
                </c:pt>
                <c:pt idx="11">
                  <c:v>3</c:v>
                </c:pt>
                <c:pt idx="12">
                  <c:v>3</c:v>
                </c:pt>
                <c:pt idx="13">
                  <c:v>3.25</c:v>
                </c:pt>
                <c:pt idx="14">
                  <c:v>3.5</c:v>
                </c:pt>
                <c:pt idx="15">
                  <c:v>3.75</c:v>
                </c:pt>
                <c:pt idx="16">
                  <c:v>3.75</c:v>
                </c:pt>
                <c:pt idx="17">
                  <c:v>4.25</c:v>
                </c:pt>
                <c:pt idx="18">
                  <c:v>4.25</c:v>
                </c:pt>
                <c:pt idx="19">
                  <c:v>4.25</c:v>
                </c:pt>
                <c:pt idx="20">
                  <c:v>4.5</c:v>
                </c:pt>
                <c:pt idx="21">
                  <c:v>4.75</c:v>
                </c:pt>
                <c:pt idx="22">
                  <c:v>4.75</c:v>
                </c:pt>
                <c:pt idx="23">
                  <c:v>4.75</c:v>
                </c:pt>
                <c:pt idx="24">
                  <c:v>4.75</c:v>
                </c:pt>
                <c:pt idx="25">
                  <c:v>4.75</c:v>
                </c:pt>
                <c:pt idx="26">
                  <c:v>4.75</c:v>
                </c:pt>
                <c:pt idx="27">
                  <c:v>4.75</c:v>
                </c:pt>
                <c:pt idx="28">
                  <c:v>4.5</c:v>
                </c:pt>
                <c:pt idx="29">
                  <c:v>4.5</c:v>
                </c:pt>
                <c:pt idx="30">
                  <c:v>4.5</c:v>
                </c:pt>
                <c:pt idx="31">
                  <c:v>4.5</c:v>
                </c:pt>
                <c:pt idx="32">
                  <c:v>4.25</c:v>
                </c:pt>
                <c:pt idx="33">
                  <c:v>3.75</c:v>
                </c:pt>
                <c:pt idx="34">
                  <c:v>3.75</c:v>
                </c:pt>
                <c:pt idx="35">
                  <c:v>3.25</c:v>
                </c:pt>
                <c:pt idx="36">
                  <c:v>3.25</c:v>
                </c:pt>
                <c:pt idx="37">
                  <c:v>3.25</c:v>
                </c:pt>
                <c:pt idx="38">
                  <c:v>3.25</c:v>
                </c:pt>
                <c:pt idx="39">
                  <c:v>3.25</c:v>
                </c:pt>
                <c:pt idx="40">
                  <c:v>3.25</c:v>
                </c:pt>
                <c:pt idx="41">
                  <c:v>3.25</c:v>
                </c:pt>
                <c:pt idx="42">
                  <c:v>3.25</c:v>
                </c:pt>
                <c:pt idx="43">
                  <c:v>3.25</c:v>
                </c:pt>
                <c:pt idx="44">
                  <c:v>3.25</c:v>
                </c:pt>
                <c:pt idx="45">
                  <c:v>3.25</c:v>
                </c:pt>
                <c:pt idx="46">
                  <c:v>3.25</c:v>
                </c:pt>
                <c:pt idx="47">
                  <c:v>3.25</c:v>
                </c:pt>
                <c:pt idx="48">
                  <c:v>2.75</c:v>
                </c:pt>
                <c:pt idx="49">
                  <c:v>2.75</c:v>
                </c:pt>
                <c:pt idx="50">
                  <c:v>2.75</c:v>
                </c:pt>
                <c:pt idx="51">
                  <c:v>2.5</c:v>
                </c:pt>
                <c:pt idx="52">
                  <c:v>2.5</c:v>
                </c:pt>
                <c:pt idx="53">
                  <c:v>2.5</c:v>
                </c:pt>
                <c:pt idx="54">
                  <c:v>2</c:v>
                </c:pt>
                <c:pt idx="55">
                  <c:v>2</c:v>
                </c:pt>
                <c:pt idx="56">
                  <c:v>2</c:v>
                </c:pt>
                <c:pt idx="57">
                  <c:v>2</c:v>
                </c:pt>
                <c:pt idx="58">
                  <c:v>2</c:v>
                </c:pt>
                <c:pt idx="59">
                  <c:v>2</c:v>
                </c:pt>
                <c:pt idx="60">
                  <c:v>2</c:v>
                </c:pt>
                <c:pt idx="61">
                  <c:v>2</c:v>
                </c:pt>
                <c:pt idx="62">
                  <c:v>2</c:v>
                </c:pt>
                <c:pt idx="63">
                  <c:v>2</c:v>
                </c:pt>
                <c:pt idx="64">
                  <c:v>2</c:v>
                </c:pt>
                <c:pt idx="65">
                  <c:v>2</c:v>
                </c:pt>
                <c:pt idx="66">
                  <c:v>2</c:v>
                </c:pt>
                <c:pt idx="67">
                  <c:v>2</c:v>
                </c:pt>
                <c:pt idx="68">
                  <c:v>2</c:v>
                </c:pt>
                <c:pt idx="69">
                  <c:v>2</c:v>
                </c:pt>
                <c:pt idx="70">
                  <c:v>2</c:v>
                </c:pt>
                <c:pt idx="71">
                  <c:v>2</c:v>
                </c:pt>
                <c:pt idx="72">
                  <c:v>2</c:v>
                </c:pt>
                <c:pt idx="73">
                  <c:v>2</c:v>
                </c:pt>
                <c:pt idx="74">
                  <c:v>2</c:v>
                </c:pt>
                <c:pt idx="75">
                  <c:v>2</c:v>
                </c:pt>
                <c:pt idx="76">
                  <c:v>2</c:v>
                </c:pt>
                <c:pt idx="77">
                  <c:v>2</c:v>
                </c:pt>
                <c:pt idx="78">
                  <c:v>2</c:v>
                </c:pt>
                <c:pt idx="79">
                  <c:v>2</c:v>
                </c:pt>
                <c:pt idx="80">
                  <c:v>2</c:v>
                </c:pt>
                <c:pt idx="81">
                  <c:v>2</c:v>
                </c:pt>
                <c:pt idx="82">
                  <c:v>2</c:v>
                </c:pt>
                <c:pt idx="83">
                  <c:v>2</c:v>
                </c:pt>
                <c:pt idx="84">
                  <c:v>2.25</c:v>
                </c:pt>
                <c:pt idx="85">
                  <c:v>2.25</c:v>
                </c:pt>
                <c:pt idx="86">
                  <c:v>2.25</c:v>
                </c:pt>
                <c:pt idx="87">
                  <c:v>2.5</c:v>
                </c:pt>
                <c:pt idx="88">
                  <c:v>2.5</c:v>
                </c:pt>
                <c:pt idx="89">
                  <c:v>2.5</c:v>
                </c:pt>
                <c:pt idx="90">
                  <c:v>2.75</c:v>
                </c:pt>
                <c:pt idx="91">
                  <c:v>2.75</c:v>
                </c:pt>
                <c:pt idx="92">
                  <c:v>3</c:v>
                </c:pt>
                <c:pt idx="93">
                  <c:v>3</c:v>
                </c:pt>
                <c:pt idx="94">
                  <c:v>3.25</c:v>
                </c:pt>
                <c:pt idx="95">
                  <c:v>3.25</c:v>
                </c:pt>
                <c:pt idx="96">
                  <c:v>3.5</c:v>
                </c:pt>
                <c:pt idx="97">
                  <c:v>3.5</c:v>
                </c:pt>
                <c:pt idx="98">
                  <c:v>3.5</c:v>
                </c:pt>
                <c:pt idx="99">
                  <c:v>3.75</c:v>
                </c:pt>
                <c:pt idx="100">
                  <c:v>3.75</c:v>
                </c:pt>
                <c:pt idx="101">
                  <c:v>3.75</c:v>
                </c:pt>
                <c:pt idx="102">
                  <c:v>4</c:v>
                </c:pt>
                <c:pt idx="103">
                  <c:v>4</c:v>
                </c:pt>
                <c:pt idx="104">
                  <c:v>4</c:v>
                </c:pt>
                <c:pt idx="105">
                  <c:v>4</c:v>
                </c:pt>
                <c:pt idx="106">
                  <c:v>4</c:v>
                </c:pt>
                <c:pt idx="107">
                  <c:v>4</c:v>
                </c:pt>
                <c:pt idx="108">
                  <c:v>4</c:v>
                </c:pt>
                <c:pt idx="109">
                  <c:v>4</c:v>
                </c:pt>
                <c:pt idx="110">
                  <c:v>4</c:v>
                </c:pt>
                <c:pt idx="111">
                  <c:v>4</c:v>
                </c:pt>
                <c:pt idx="112">
                  <c:v>4</c:v>
                </c:pt>
                <c:pt idx="113">
                  <c:v>4</c:v>
                </c:pt>
                <c:pt idx="114">
                  <c:v>4</c:v>
                </c:pt>
                <c:pt idx="115">
                  <c:v>4.25</c:v>
                </c:pt>
                <c:pt idx="116">
                  <c:v>4.25</c:v>
                </c:pt>
                <c:pt idx="117">
                  <c:v>4.25</c:v>
                </c:pt>
                <c:pt idx="118">
                  <c:v>4.25</c:v>
                </c:pt>
                <c:pt idx="119">
                  <c:v>3.25</c:v>
                </c:pt>
                <c:pt idx="120">
                  <c:v>2.5</c:v>
                </c:pt>
                <c:pt idx="121">
                  <c:v>2.5</c:v>
                </c:pt>
                <c:pt idx="122">
                  <c:v>2</c:v>
                </c:pt>
                <c:pt idx="123">
                  <c:v>1.5</c:v>
                </c:pt>
                <c:pt idx="124">
                  <c:v>1.25</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1.25</c:v>
                </c:pt>
                <c:pt idx="149">
                  <c:v>1.25</c:v>
                </c:pt>
                <c:pt idx="150">
                  <c:v>1.25</c:v>
                </c:pt>
                <c:pt idx="151">
                  <c:v>1.5</c:v>
                </c:pt>
                <c:pt idx="152">
                  <c:v>1.5</c:v>
                </c:pt>
                <c:pt idx="153">
                  <c:v>1.5</c:v>
                </c:pt>
                <c:pt idx="154">
                  <c:v>1.5</c:v>
                </c:pt>
                <c:pt idx="155">
                  <c:v>1.25</c:v>
                </c:pt>
                <c:pt idx="156">
                  <c:v>1</c:v>
                </c:pt>
                <c:pt idx="157">
                  <c:v>1</c:v>
                </c:pt>
                <c:pt idx="158">
                  <c:v>1</c:v>
                </c:pt>
                <c:pt idx="159">
                  <c:v>1</c:v>
                </c:pt>
                <c:pt idx="160">
                  <c:v>1</c:v>
                </c:pt>
                <c:pt idx="161">
                  <c:v>1</c:v>
                </c:pt>
                <c:pt idx="162">
                  <c:v>1</c:v>
                </c:pt>
                <c:pt idx="163">
                  <c:v>0.75</c:v>
                </c:pt>
                <c:pt idx="164">
                  <c:v>0.75</c:v>
                </c:pt>
                <c:pt idx="165">
                  <c:v>0.75</c:v>
                </c:pt>
                <c:pt idx="166">
                  <c:v>0.75</c:v>
                </c:pt>
                <c:pt idx="167">
                  <c:v>0.75</c:v>
                </c:pt>
                <c:pt idx="168">
                  <c:v>0.75</c:v>
                </c:pt>
                <c:pt idx="169">
                  <c:v>0.75</c:v>
                </c:pt>
                <c:pt idx="170">
                  <c:v>0.75</c:v>
                </c:pt>
                <c:pt idx="171">
                  <c:v>0.75</c:v>
                </c:pt>
                <c:pt idx="172">
                  <c:v>0.75</c:v>
                </c:pt>
                <c:pt idx="173">
                  <c:v>0.5</c:v>
                </c:pt>
                <c:pt idx="174">
                  <c:v>0.5</c:v>
                </c:pt>
                <c:pt idx="175">
                  <c:v>0.5</c:v>
                </c:pt>
                <c:pt idx="176">
                  <c:v>0.5</c:v>
                </c:pt>
                <c:pt idx="177">
                  <c:v>0.5</c:v>
                </c:pt>
                <c:pt idx="178">
                  <c:v>0.5</c:v>
                </c:pt>
                <c:pt idx="179">
                  <c:v>0.25</c:v>
                </c:pt>
                <c:pt idx="180">
                  <c:v>0.25</c:v>
                </c:pt>
                <c:pt idx="181">
                  <c:v>0.25</c:v>
                </c:pt>
                <c:pt idx="182">
                  <c:v>0.25</c:v>
                </c:pt>
                <c:pt idx="183">
                  <c:v>0.25</c:v>
                </c:pt>
                <c:pt idx="184">
                  <c:v>0.25</c:v>
                </c:pt>
                <c:pt idx="185">
                  <c:v>0.25</c:v>
                </c:pt>
                <c:pt idx="186">
                  <c:v>0.15</c:v>
                </c:pt>
                <c:pt idx="187">
                  <c:v>0.15</c:v>
                </c:pt>
                <c:pt idx="188">
                  <c:v>0.15</c:v>
                </c:pt>
                <c:pt idx="189">
                  <c:v>0.05</c:v>
                </c:pt>
                <c:pt idx="190">
                  <c:v>0.05</c:v>
                </c:pt>
                <c:pt idx="191">
                  <c:v>0.05</c:v>
                </c:pt>
                <c:pt idx="192">
                  <c:v>0.05</c:v>
                </c:pt>
                <c:pt idx="193">
                  <c:v>0.05</c:v>
                </c:pt>
                <c:pt idx="194">
                  <c:v>0.05</c:v>
                </c:pt>
                <c:pt idx="195">
                  <c:v>0.05</c:v>
                </c:pt>
                <c:pt idx="196">
                  <c:v>0.05</c:v>
                </c:pt>
                <c:pt idx="197">
                  <c:v>0.05</c:v>
                </c:pt>
                <c:pt idx="198">
                  <c:v>0.05</c:v>
                </c:pt>
                <c:pt idx="199">
                  <c:v>0.05</c:v>
                </c:pt>
                <c:pt idx="200">
                  <c:v>0.05</c:v>
                </c:pt>
                <c:pt idx="201">
                  <c:v>0.05</c:v>
                </c:pt>
                <c:pt idx="202">
                  <c:v>0.05</c:v>
                </c:pt>
                <c:pt idx="203">
                  <c:v>0.05</c:v>
                </c:pt>
                <c:pt idx="204">
                  <c:v>0.05</c:v>
                </c:pt>
                <c:pt idx="205">
                  <c:v>0.05</c:v>
                </c:pt>
                <c:pt idx="206">
                  <c:v>0.05</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numCache>
            </c:numRef>
          </c:val>
          <c:smooth val="0"/>
          <c:extLst>
            <c:ext xmlns:c16="http://schemas.microsoft.com/office/drawing/2014/chart" uri="{C3380CC4-5D6E-409C-BE32-E72D297353CC}">
              <c16:uniqueId val="{00000003-9FF3-4FD0-9C54-5384B7DC4120}"/>
            </c:ext>
          </c:extLst>
        </c:ser>
        <c:dLbls>
          <c:showLegendKey val="0"/>
          <c:showVal val="0"/>
          <c:showCatName val="0"/>
          <c:showSerName val="0"/>
          <c:showPercent val="0"/>
          <c:showBubbleSize val="0"/>
        </c:dLbls>
        <c:smooth val="0"/>
        <c:axId val="67221376"/>
        <c:axId val="67222912"/>
      </c:lineChart>
      <c:dateAx>
        <c:axId val="67221376"/>
        <c:scaling>
          <c:orientation val="minMax"/>
        </c:scaling>
        <c:delete val="0"/>
        <c:axPos val="b"/>
        <c:numFmt formatCode="[$-40C]mmmm\-yy;@" sourceLinked="0"/>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67222912"/>
        <c:crossesAt val="-1"/>
        <c:auto val="1"/>
        <c:lblOffset val="100"/>
        <c:baseTimeUnit val="days"/>
      </c:dateAx>
      <c:valAx>
        <c:axId val="67222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7221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Vinh San</dc:creator>
  <cp:keywords/>
  <dc:description/>
  <cp:lastModifiedBy>Mathieu Vinh San</cp:lastModifiedBy>
  <cp:revision>2</cp:revision>
  <dcterms:created xsi:type="dcterms:W3CDTF">2018-01-05T15:40:00Z</dcterms:created>
  <dcterms:modified xsi:type="dcterms:W3CDTF">2018-01-05T15:40:00Z</dcterms:modified>
</cp:coreProperties>
</file>