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F2" w:rsidRPr="003F29F2" w:rsidRDefault="003F29F2" w:rsidP="003F29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MS Mincho" w:hAnsi="Arial" w:cs="Arial"/>
          <w:b/>
          <w:iCs/>
          <w:color w:val="000000"/>
          <w:sz w:val="28"/>
          <w:szCs w:val="28"/>
          <w:lang w:eastAsia="fr-FR"/>
        </w:rPr>
      </w:pPr>
      <w:r w:rsidRPr="003F29F2">
        <w:rPr>
          <w:rFonts w:ascii="Arial" w:eastAsia="MS Mincho" w:hAnsi="Arial" w:cs="Arial"/>
          <w:b/>
          <w:iCs/>
          <w:color w:val="000000"/>
          <w:sz w:val="28"/>
          <w:szCs w:val="28"/>
          <w:lang w:eastAsia="fr-FR"/>
        </w:rPr>
        <w:t>Épreuve composée</w:t>
      </w:r>
    </w:p>
    <w:p w:rsidR="003F29F2" w:rsidRPr="003F29F2" w:rsidRDefault="003F29F2" w:rsidP="003F29F2">
      <w:pPr>
        <w:autoSpaceDE w:val="0"/>
        <w:autoSpaceDN w:val="0"/>
        <w:adjustRightInd w:val="0"/>
        <w:spacing w:after="0" w:line="240" w:lineRule="auto"/>
        <w:jc w:val="center"/>
        <w:rPr>
          <w:rFonts w:ascii="Arial" w:eastAsia="MS Mincho" w:hAnsi="Arial" w:cs="Arial"/>
          <w:i/>
          <w:iCs/>
          <w:color w:val="000000"/>
          <w:sz w:val="24"/>
          <w:szCs w:val="24"/>
          <w:lang w:eastAsia="fr-FR"/>
        </w:rPr>
      </w:pPr>
    </w:p>
    <w:p w:rsidR="003F29F2" w:rsidRPr="003F29F2" w:rsidRDefault="003F29F2" w:rsidP="003F29F2">
      <w:pPr>
        <w:spacing w:after="0" w:line="240" w:lineRule="auto"/>
        <w:jc w:val="both"/>
        <w:rPr>
          <w:rFonts w:ascii="Arial" w:eastAsia="MS Mincho" w:hAnsi="Arial" w:cs="Arial"/>
          <w:i/>
          <w:sz w:val="20"/>
          <w:szCs w:val="20"/>
          <w:lang w:eastAsia="fr-FR"/>
        </w:rPr>
      </w:pPr>
      <w:r w:rsidRPr="003F29F2">
        <w:rPr>
          <w:rFonts w:ascii="Arial" w:eastAsia="MS Mincho" w:hAnsi="Arial" w:cs="Arial"/>
          <w:i/>
          <w:sz w:val="20"/>
          <w:szCs w:val="20"/>
          <w:lang w:eastAsia="fr-FR"/>
        </w:rPr>
        <w:t>3 – Pour la partie 3 (Raisonnement s’appuyant sur un dossier documentaire), il est demandé au candidat de traiter le sujet :</w:t>
      </w:r>
    </w:p>
    <w:p w:rsidR="003F29F2" w:rsidRPr="003F29F2" w:rsidRDefault="003F29F2" w:rsidP="003F29F2">
      <w:pPr>
        <w:spacing w:after="0" w:line="240" w:lineRule="auto"/>
        <w:ind w:left="710"/>
        <w:jc w:val="both"/>
        <w:rPr>
          <w:rFonts w:ascii="Arial" w:eastAsia="MS Mincho" w:hAnsi="Arial" w:cs="Arial"/>
          <w:i/>
          <w:sz w:val="20"/>
          <w:szCs w:val="20"/>
          <w:lang w:eastAsia="fr-FR"/>
        </w:rPr>
      </w:pPr>
      <w:r w:rsidRPr="003F29F2">
        <w:rPr>
          <w:rFonts w:ascii="Arial" w:eastAsia="MS Mincho" w:hAnsi="Arial" w:cs="Arial"/>
          <w:i/>
          <w:sz w:val="20"/>
          <w:szCs w:val="20"/>
          <w:lang w:eastAsia="fr-FR"/>
        </w:rPr>
        <w:t>- en développant un raisonnement ;</w:t>
      </w:r>
    </w:p>
    <w:p w:rsidR="003F29F2" w:rsidRPr="003F29F2" w:rsidRDefault="003F29F2" w:rsidP="003F29F2">
      <w:pPr>
        <w:spacing w:after="0" w:line="240" w:lineRule="auto"/>
        <w:ind w:left="710"/>
        <w:jc w:val="both"/>
        <w:rPr>
          <w:rFonts w:ascii="Arial" w:eastAsia="MS Mincho" w:hAnsi="Arial" w:cs="Arial"/>
          <w:i/>
          <w:sz w:val="20"/>
          <w:szCs w:val="20"/>
          <w:lang w:eastAsia="fr-FR"/>
        </w:rPr>
      </w:pPr>
      <w:r w:rsidRPr="003F29F2">
        <w:rPr>
          <w:rFonts w:ascii="Arial" w:eastAsia="MS Mincho" w:hAnsi="Arial" w:cs="Arial"/>
          <w:i/>
          <w:sz w:val="20"/>
          <w:szCs w:val="20"/>
          <w:lang w:eastAsia="fr-FR"/>
        </w:rPr>
        <w:t>- en exploitant les documents du dossier ;</w:t>
      </w:r>
    </w:p>
    <w:p w:rsidR="003F29F2" w:rsidRPr="003F29F2" w:rsidRDefault="003F29F2" w:rsidP="003F29F2">
      <w:pPr>
        <w:spacing w:after="0" w:line="240" w:lineRule="auto"/>
        <w:ind w:left="710"/>
        <w:jc w:val="both"/>
        <w:rPr>
          <w:rFonts w:ascii="Arial" w:eastAsia="MS Mincho" w:hAnsi="Arial" w:cs="Arial"/>
          <w:i/>
          <w:sz w:val="20"/>
          <w:szCs w:val="20"/>
          <w:lang w:eastAsia="fr-FR"/>
        </w:rPr>
      </w:pPr>
      <w:r w:rsidRPr="003F29F2">
        <w:rPr>
          <w:rFonts w:ascii="Arial" w:eastAsia="MS Mincho" w:hAnsi="Arial" w:cs="Arial"/>
          <w:i/>
          <w:sz w:val="20"/>
          <w:szCs w:val="20"/>
          <w:lang w:eastAsia="fr-FR"/>
        </w:rPr>
        <w:t>- en faisant appel à ses connaissances personnelles ;</w:t>
      </w:r>
    </w:p>
    <w:p w:rsidR="003F29F2" w:rsidRPr="003F29F2" w:rsidRDefault="003F29F2" w:rsidP="003F29F2">
      <w:pPr>
        <w:spacing w:after="0" w:line="240" w:lineRule="auto"/>
        <w:ind w:left="708"/>
        <w:jc w:val="both"/>
        <w:rPr>
          <w:rFonts w:ascii="Arial" w:eastAsia="MS Mincho" w:hAnsi="Arial" w:cs="Arial"/>
          <w:i/>
          <w:sz w:val="20"/>
          <w:szCs w:val="20"/>
          <w:lang w:eastAsia="fr-FR"/>
        </w:rPr>
      </w:pPr>
      <w:r w:rsidRPr="003F29F2">
        <w:rPr>
          <w:rFonts w:ascii="Arial" w:eastAsia="MS Mincho" w:hAnsi="Arial" w:cs="Arial"/>
          <w:i/>
          <w:sz w:val="20"/>
          <w:szCs w:val="20"/>
          <w:lang w:eastAsia="fr-FR"/>
        </w:rPr>
        <w:t>- en composant une introduction, un développement, une conclusion.</w:t>
      </w:r>
    </w:p>
    <w:p w:rsidR="003F29F2" w:rsidRPr="003F29F2" w:rsidRDefault="003F29F2" w:rsidP="003F29F2">
      <w:pPr>
        <w:spacing w:after="0" w:line="240" w:lineRule="auto"/>
        <w:jc w:val="both"/>
        <w:rPr>
          <w:rFonts w:ascii="Arial" w:eastAsia="MS Mincho" w:hAnsi="Arial" w:cs="Arial"/>
          <w:i/>
          <w:sz w:val="20"/>
          <w:szCs w:val="20"/>
          <w:lang w:eastAsia="fr-FR"/>
        </w:rPr>
      </w:pPr>
    </w:p>
    <w:p w:rsidR="003F29F2" w:rsidRPr="003F29F2" w:rsidRDefault="003F29F2" w:rsidP="003F29F2">
      <w:pPr>
        <w:spacing w:after="0" w:line="240" w:lineRule="auto"/>
        <w:jc w:val="both"/>
        <w:rPr>
          <w:rFonts w:ascii="Arial" w:eastAsia="MS Mincho" w:hAnsi="Arial" w:cs="Arial"/>
          <w:i/>
          <w:sz w:val="20"/>
          <w:szCs w:val="20"/>
          <w:lang w:eastAsia="fr-FR"/>
        </w:rPr>
      </w:pPr>
      <w:r w:rsidRPr="003F29F2">
        <w:rPr>
          <w:rFonts w:ascii="Arial" w:eastAsia="MS Mincho" w:hAnsi="Arial" w:cs="Arial"/>
          <w:i/>
          <w:sz w:val="20"/>
          <w:szCs w:val="20"/>
          <w:lang w:eastAsia="fr-FR"/>
        </w:rPr>
        <w:t xml:space="preserve">II sera tenu compte, dans la notation, de la clarté de l'expression et du soin apporté à la présentation. </w:t>
      </w:r>
    </w:p>
    <w:p w:rsidR="003F29F2" w:rsidRPr="003F29F2" w:rsidRDefault="003F29F2" w:rsidP="003F29F2">
      <w:pPr>
        <w:spacing w:after="0" w:line="240" w:lineRule="auto"/>
        <w:rPr>
          <w:rFonts w:ascii="Arial" w:eastAsia="MS Mincho" w:hAnsi="Arial" w:cs="Arial"/>
          <w:b/>
          <w:iCs/>
          <w:color w:val="000000"/>
          <w:sz w:val="24"/>
          <w:szCs w:val="20"/>
          <w:lang w:eastAsia="fr-FR"/>
        </w:rPr>
      </w:pPr>
    </w:p>
    <w:p w:rsidR="003F29F2" w:rsidRPr="003F29F2" w:rsidRDefault="003F29F2" w:rsidP="003F29F2">
      <w:pPr>
        <w:spacing w:after="0" w:line="240" w:lineRule="auto"/>
        <w:rPr>
          <w:rFonts w:ascii="Arial" w:eastAsia="MS Mincho" w:hAnsi="Arial" w:cs="Arial"/>
          <w:b/>
          <w:iCs/>
          <w:color w:val="000000"/>
          <w:sz w:val="24"/>
          <w:szCs w:val="20"/>
          <w:lang w:eastAsia="fr-FR"/>
        </w:rPr>
      </w:pPr>
    </w:p>
    <w:p w:rsidR="003F29F2" w:rsidRPr="003F29F2" w:rsidRDefault="003F29F2" w:rsidP="003F29F2">
      <w:pPr>
        <w:spacing w:after="0" w:line="240" w:lineRule="auto"/>
        <w:jc w:val="both"/>
        <w:rPr>
          <w:rFonts w:ascii="Arial" w:eastAsia="MS Mincho" w:hAnsi="Arial" w:cs="Arial"/>
          <w:b/>
          <w:sz w:val="24"/>
          <w:szCs w:val="20"/>
          <w:lang w:eastAsia="fr-FR"/>
        </w:rPr>
      </w:pPr>
      <w:r w:rsidRPr="003F29F2">
        <w:rPr>
          <w:rFonts w:ascii="Arial" w:eastAsia="MS Mincho" w:hAnsi="Arial" w:cs="Arial"/>
          <w:b/>
          <w:iCs/>
          <w:color w:val="000000"/>
          <w:sz w:val="24"/>
          <w:szCs w:val="20"/>
          <w:lang w:eastAsia="fr-FR"/>
        </w:rPr>
        <w:t>Troisième p</w:t>
      </w:r>
      <w:r w:rsidRPr="003F29F2">
        <w:rPr>
          <w:rFonts w:ascii="Arial" w:eastAsia="MS Mincho" w:hAnsi="Arial" w:cs="Arial"/>
          <w:b/>
          <w:sz w:val="24"/>
          <w:szCs w:val="20"/>
          <w:lang w:eastAsia="fr-FR"/>
        </w:rPr>
        <w:t xml:space="preserve">artie : Raisonnement s’appuyant sur un dossier documentaire </w:t>
      </w:r>
    </w:p>
    <w:p w:rsidR="003F29F2" w:rsidRPr="003F29F2" w:rsidRDefault="003F29F2" w:rsidP="003F29F2">
      <w:pPr>
        <w:spacing w:after="0" w:line="240" w:lineRule="auto"/>
        <w:rPr>
          <w:rFonts w:ascii="Arial" w:eastAsia="MS Mincho" w:hAnsi="Arial" w:cs="Arial"/>
          <w:b/>
          <w:sz w:val="24"/>
          <w:szCs w:val="20"/>
          <w:lang w:eastAsia="fr-FR"/>
        </w:rPr>
      </w:pPr>
      <w:r w:rsidRPr="003F29F2">
        <w:rPr>
          <w:rFonts w:ascii="Arial" w:eastAsia="MS Mincho" w:hAnsi="Arial" w:cs="Arial"/>
          <w:b/>
          <w:i/>
          <w:sz w:val="24"/>
          <w:szCs w:val="20"/>
          <w:lang w:eastAsia="fr-FR"/>
        </w:rPr>
        <w:t>(10 points)</w:t>
      </w:r>
    </w:p>
    <w:p w:rsidR="003F29F2" w:rsidRPr="003F29F2" w:rsidRDefault="003F29F2" w:rsidP="003F29F2">
      <w:pPr>
        <w:spacing w:after="0" w:line="240" w:lineRule="auto"/>
        <w:jc w:val="center"/>
        <w:rPr>
          <w:rFonts w:ascii="Arial" w:eastAsia="MS Mincho" w:hAnsi="Arial" w:cs="Arial"/>
          <w:i/>
          <w:sz w:val="24"/>
          <w:szCs w:val="20"/>
          <w:lang w:eastAsia="fr-FR"/>
        </w:rPr>
      </w:pPr>
    </w:p>
    <w:p w:rsidR="003F29F2" w:rsidRPr="003F29F2" w:rsidRDefault="003F29F2" w:rsidP="003F29F2">
      <w:pPr>
        <w:spacing w:after="0" w:line="240" w:lineRule="auto"/>
        <w:jc w:val="center"/>
        <w:rPr>
          <w:rFonts w:ascii="Arial" w:eastAsia="MS Mincho" w:hAnsi="Arial" w:cs="Arial"/>
          <w:i/>
          <w:sz w:val="24"/>
          <w:szCs w:val="20"/>
          <w:lang w:eastAsia="fr-FR"/>
        </w:rPr>
      </w:pPr>
      <w:r w:rsidRPr="003F29F2">
        <w:rPr>
          <w:rFonts w:ascii="Arial" w:eastAsia="MS Mincho" w:hAnsi="Arial" w:cs="Arial"/>
          <w:i/>
          <w:sz w:val="24"/>
          <w:szCs w:val="20"/>
          <w:lang w:eastAsia="fr-FR"/>
        </w:rPr>
        <w:t>Cette partie comporte trois documents.</w:t>
      </w:r>
    </w:p>
    <w:p w:rsidR="003F29F2" w:rsidRPr="003F29F2" w:rsidRDefault="003F29F2" w:rsidP="003F29F2">
      <w:pPr>
        <w:spacing w:after="0" w:line="240" w:lineRule="auto"/>
        <w:jc w:val="center"/>
        <w:rPr>
          <w:rFonts w:ascii="Arial" w:eastAsia="MS Mincho" w:hAnsi="Arial" w:cs="Arial"/>
          <w:b/>
          <w:i/>
          <w:sz w:val="24"/>
          <w:szCs w:val="20"/>
          <w:lang w:eastAsia="fr-FR"/>
        </w:rPr>
      </w:pPr>
    </w:p>
    <w:p w:rsidR="003F29F2" w:rsidRPr="003F29F2" w:rsidRDefault="003F29F2" w:rsidP="003F29F2">
      <w:pPr>
        <w:spacing w:after="0" w:line="240" w:lineRule="auto"/>
        <w:rPr>
          <w:rFonts w:ascii="Arial" w:eastAsia="MS Mincho" w:hAnsi="Arial" w:cs="Arial"/>
          <w:b/>
          <w:sz w:val="24"/>
          <w:szCs w:val="20"/>
          <w:lang w:eastAsia="fr-FR"/>
        </w:rPr>
      </w:pPr>
      <w:r w:rsidRPr="003F29F2">
        <w:rPr>
          <w:rFonts w:ascii="Arial" w:eastAsia="MS Mincho" w:hAnsi="Arial" w:cs="Arial"/>
          <w:b/>
          <w:sz w:val="24"/>
          <w:szCs w:val="20"/>
          <w:lang w:eastAsia="fr-FR"/>
        </w:rPr>
        <w:t>Sujet : À l’aide de vos connaissances et des documents, vous montrerez que</w:t>
      </w:r>
      <w:r w:rsidRPr="003F29F2">
        <w:rPr>
          <w:rFonts w:ascii="Arial" w:eastAsia="Calibri" w:hAnsi="Arial" w:cs="Arial"/>
          <w:b/>
          <w:sz w:val="24"/>
          <w:szCs w:val="24"/>
        </w:rPr>
        <w:t xml:space="preserve"> l’</w:t>
      </w:r>
      <w:r w:rsidRPr="003F29F2">
        <w:rPr>
          <w:rFonts w:ascii="Arial" w:eastAsia="MS Mincho" w:hAnsi="Arial" w:cs="Arial"/>
          <w:b/>
          <w:iCs/>
          <w:color w:val="000000"/>
          <w:sz w:val="24"/>
          <w:szCs w:val="24"/>
          <w:lang w:eastAsia="fr-FR"/>
        </w:rPr>
        <w:t>É</w:t>
      </w:r>
      <w:r w:rsidRPr="003F29F2">
        <w:rPr>
          <w:rFonts w:ascii="Arial" w:eastAsia="Calibri" w:hAnsi="Arial" w:cs="Arial"/>
          <w:b/>
          <w:sz w:val="24"/>
          <w:szCs w:val="24"/>
        </w:rPr>
        <w:t>tat-providence favorise la cohésion sociale.</w:t>
      </w:r>
    </w:p>
    <w:p w:rsidR="003F29F2" w:rsidRPr="003F29F2" w:rsidRDefault="003F29F2" w:rsidP="003F29F2">
      <w:pPr>
        <w:spacing w:after="0" w:line="240" w:lineRule="auto"/>
        <w:jc w:val="both"/>
        <w:rPr>
          <w:rFonts w:ascii="Arial" w:eastAsia="Times New Roman" w:hAnsi="Arial" w:cs="Arial"/>
          <w:sz w:val="24"/>
          <w:szCs w:val="24"/>
          <w:lang w:eastAsia="fr-FR"/>
        </w:rPr>
      </w:pPr>
    </w:p>
    <w:p w:rsidR="003F29F2" w:rsidRPr="003F29F2" w:rsidRDefault="003F29F2" w:rsidP="003F29F2">
      <w:pPr>
        <w:spacing w:after="0" w:line="240" w:lineRule="auto"/>
        <w:jc w:val="both"/>
        <w:rPr>
          <w:rFonts w:ascii="Arial" w:eastAsia="Times New Roman" w:hAnsi="Arial" w:cs="Arial"/>
          <w:b/>
          <w:sz w:val="24"/>
          <w:szCs w:val="24"/>
          <w:lang w:eastAsia="fr-FR"/>
        </w:rPr>
      </w:pPr>
      <w:r w:rsidRPr="003F29F2">
        <w:rPr>
          <w:rFonts w:ascii="Arial" w:eastAsia="Times New Roman" w:hAnsi="Arial" w:cs="Arial"/>
          <w:b/>
          <w:sz w:val="24"/>
          <w:szCs w:val="24"/>
          <w:lang w:eastAsia="fr-FR"/>
        </w:rPr>
        <w:t xml:space="preserve">DOCUMENT 1 </w:t>
      </w:r>
    </w:p>
    <w:p w:rsidR="003F29F2" w:rsidRPr="003F29F2" w:rsidRDefault="003F29F2" w:rsidP="003F29F2">
      <w:pPr>
        <w:spacing w:after="0" w:line="240" w:lineRule="auto"/>
        <w:jc w:val="both"/>
        <w:rPr>
          <w:rFonts w:ascii="Arial" w:eastAsia="Times New Roman" w:hAnsi="Arial" w:cs="Arial"/>
          <w:b/>
          <w:sz w:val="24"/>
          <w:szCs w:val="24"/>
          <w:lang w:eastAsia="fr-FR"/>
        </w:rPr>
      </w:pPr>
    </w:p>
    <w:p w:rsidR="003F29F2" w:rsidRPr="003F29F2" w:rsidRDefault="003F29F2" w:rsidP="003F29F2">
      <w:pPr>
        <w:jc w:val="both"/>
        <w:rPr>
          <w:rFonts w:ascii="Arial" w:eastAsia="Calibri" w:hAnsi="Arial" w:cs="Arial"/>
          <w:sz w:val="24"/>
          <w:szCs w:val="24"/>
        </w:rPr>
      </w:pPr>
      <w:r w:rsidRPr="003F29F2">
        <w:rPr>
          <w:rFonts w:ascii="Arial" w:eastAsia="Calibri" w:hAnsi="Arial" w:cs="Arial"/>
          <w:sz w:val="24"/>
          <w:szCs w:val="24"/>
        </w:rPr>
        <w:t>L’État social est une réponse, d’ailleurs tardive, apportée à une très vieille question qui se pose en fait dans toute société et qui sous sa forme la plus générale pourrait se formuler ainsi : que signifie « être protégé », par quels canaux les individus appartenant à une communauté peuvent-ils bénéficier de ressources minimales pour assurer leur existence lorsqu’ils sont dans le besoin et ne peuvent par eux-mêmes faire face à la situation ? Qui leur procure alors ces garanties minimales contre les risques de l’existence sociale, qu’il s’agisse de difficultés d’ordre individuel comme la maladie, l’accident ou l’invalidité, ou bien de malheurs largement partagés comme autrefois les épidémies ou la famine, aujourd’hui le chômage de masse ? L’État social est une des instances susceptibles d’intervenir pour faire face à ces situations, en somme pour conjurer</w:t>
      </w:r>
      <w:r w:rsidRPr="003F29F2">
        <w:rPr>
          <w:rFonts w:ascii="Arial" w:eastAsia="Calibri" w:hAnsi="Arial" w:cs="Arial"/>
          <w:sz w:val="24"/>
          <w:szCs w:val="24"/>
          <w:vertAlign w:val="superscript"/>
        </w:rPr>
        <w:t>*</w:t>
      </w:r>
      <w:r w:rsidRPr="003F29F2">
        <w:rPr>
          <w:rFonts w:ascii="Arial" w:eastAsia="Calibri" w:hAnsi="Arial" w:cs="Arial"/>
          <w:sz w:val="24"/>
          <w:szCs w:val="24"/>
        </w:rPr>
        <w:t xml:space="preserve"> les risques de décrochage, de rupture du lien social, de désaffiliation qu’elles portent. Dans cette fonction de garant de la cohésion sociale, il ne s’est d’ailleurs pas contenté de répondre de manière ponctuelle aux situations critiques […]. Il a porté l’ambition à la fois de sécuriser le présent et d’assurer l’avenir.</w:t>
      </w:r>
    </w:p>
    <w:p w:rsidR="003F29F2" w:rsidRPr="003F29F2" w:rsidRDefault="003F29F2" w:rsidP="003F29F2">
      <w:pPr>
        <w:jc w:val="both"/>
        <w:rPr>
          <w:rFonts w:ascii="Arial" w:eastAsia="Calibri" w:hAnsi="Arial" w:cs="Arial"/>
          <w:sz w:val="24"/>
          <w:szCs w:val="24"/>
        </w:rPr>
      </w:pPr>
      <w:r w:rsidRPr="003F29F2">
        <w:rPr>
          <w:rFonts w:ascii="Arial" w:eastAsia="Calibri" w:hAnsi="Arial" w:cs="Arial"/>
          <w:sz w:val="24"/>
          <w:szCs w:val="24"/>
        </w:rPr>
        <w:t xml:space="preserve">                                      Source</w:t>
      </w:r>
      <w:r w:rsidRPr="003F29F2">
        <w:rPr>
          <w:rFonts w:ascii="Arial" w:eastAsia="Calibri" w:hAnsi="Arial" w:cs="Arial"/>
          <w:i/>
          <w:sz w:val="24"/>
          <w:szCs w:val="24"/>
        </w:rPr>
        <w:t> : La montée des incertitudes</w:t>
      </w:r>
      <w:r w:rsidRPr="003F29F2">
        <w:rPr>
          <w:rFonts w:ascii="Arial" w:eastAsia="Calibri" w:hAnsi="Arial" w:cs="Arial"/>
          <w:sz w:val="24"/>
          <w:szCs w:val="24"/>
        </w:rPr>
        <w:t>, Robert CASTEL, 2009.</w:t>
      </w:r>
    </w:p>
    <w:p w:rsidR="003F29F2" w:rsidRPr="003F29F2" w:rsidRDefault="003F29F2" w:rsidP="003F29F2">
      <w:pPr>
        <w:jc w:val="both"/>
        <w:rPr>
          <w:rFonts w:ascii="Arial" w:eastAsia="Calibri" w:hAnsi="Arial" w:cs="Arial"/>
          <w:sz w:val="24"/>
          <w:szCs w:val="24"/>
        </w:rPr>
      </w:pPr>
      <w:r w:rsidRPr="003F29F2">
        <w:rPr>
          <w:rFonts w:ascii="Arial" w:eastAsia="Calibri" w:hAnsi="Arial" w:cs="Arial"/>
          <w:sz w:val="24"/>
          <w:szCs w:val="24"/>
        </w:rPr>
        <w:t>* Écarter.</w:t>
      </w:r>
    </w:p>
    <w:p w:rsidR="003F29F2" w:rsidRPr="003F29F2" w:rsidRDefault="003F29F2" w:rsidP="003F29F2">
      <w:pPr>
        <w:jc w:val="both"/>
        <w:rPr>
          <w:rFonts w:ascii="Arial" w:eastAsia="Calibri" w:hAnsi="Arial" w:cs="Arial"/>
          <w:b/>
          <w:sz w:val="24"/>
          <w:szCs w:val="24"/>
        </w:rPr>
      </w:pPr>
    </w:p>
    <w:p w:rsidR="003F29F2" w:rsidRPr="003F29F2" w:rsidRDefault="003F29F2" w:rsidP="003F29F2">
      <w:pPr>
        <w:jc w:val="both"/>
        <w:rPr>
          <w:rFonts w:ascii="Arial" w:eastAsia="Calibri" w:hAnsi="Arial" w:cs="Arial"/>
          <w:b/>
          <w:sz w:val="24"/>
          <w:szCs w:val="24"/>
        </w:rPr>
      </w:pPr>
    </w:p>
    <w:p w:rsidR="003F29F2" w:rsidRDefault="003F29F2" w:rsidP="003F29F2">
      <w:pPr>
        <w:spacing w:after="0"/>
        <w:jc w:val="both"/>
        <w:rPr>
          <w:rFonts w:ascii="Arial" w:eastAsia="Calibri" w:hAnsi="Arial" w:cs="Arial"/>
          <w:b/>
          <w:sz w:val="24"/>
          <w:szCs w:val="24"/>
        </w:rPr>
      </w:pPr>
    </w:p>
    <w:p w:rsidR="003F29F2" w:rsidRDefault="003F29F2" w:rsidP="003F29F2">
      <w:pPr>
        <w:spacing w:after="0"/>
        <w:jc w:val="both"/>
        <w:rPr>
          <w:rFonts w:ascii="Arial" w:eastAsia="Calibri" w:hAnsi="Arial" w:cs="Arial"/>
          <w:b/>
          <w:sz w:val="24"/>
          <w:szCs w:val="24"/>
        </w:rPr>
      </w:pPr>
    </w:p>
    <w:p w:rsidR="003F29F2" w:rsidRDefault="003F29F2" w:rsidP="003F29F2">
      <w:pPr>
        <w:spacing w:after="0"/>
        <w:jc w:val="both"/>
        <w:rPr>
          <w:rFonts w:ascii="Arial" w:eastAsia="Calibri" w:hAnsi="Arial" w:cs="Arial"/>
          <w:b/>
          <w:sz w:val="24"/>
          <w:szCs w:val="24"/>
        </w:rPr>
      </w:pPr>
    </w:p>
    <w:p w:rsidR="003F29F2" w:rsidRPr="003F29F2" w:rsidRDefault="003F29F2" w:rsidP="003F29F2">
      <w:pPr>
        <w:spacing w:after="0"/>
        <w:jc w:val="both"/>
        <w:rPr>
          <w:rFonts w:ascii="Arial" w:eastAsia="Calibri" w:hAnsi="Arial" w:cs="Arial"/>
          <w:b/>
          <w:sz w:val="24"/>
          <w:szCs w:val="24"/>
        </w:rPr>
      </w:pPr>
      <w:bookmarkStart w:id="0" w:name="_GoBack"/>
      <w:bookmarkEnd w:id="0"/>
      <w:r w:rsidRPr="003F29F2">
        <w:rPr>
          <w:rFonts w:ascii="Arial" w:eastAsia="Calibri" w:hAnsi="Arial" w:cs="Arial"/>
          <w:b/>
          <w:sz w:val="24"/>
          <w:szCs w:val="24"/>
        </w:rPr>
        <w:lastRenderedPageBreak/>
        <w:t>DOCUMENT 2</w:t>
      </w:r>
    </w:p>
    <w:p w:rsidR="003F29F2" w:rsidRPr="003F29F2" w:rsidRDefault="003F29F2" w:rsidP="003F29F2">
      <w:pPr>
        <w:spacing w:after="0"/>
        <w:jc w:val="both"/>
        <w:rPr>
          <w:rFonts w:ascii="Arial" w:eastAsia="Calibri" w:hAnsi="Arial" w:cs="Arial"/>
          <w:b/>
          <w:sz w:val="24"/>
          <w:szCs w:val="24"/>
        </w:rPr>
      </w:pPr>
    </w:p>
    <w:p w:rsidR="003F29F2" w:rsidRPr="003F29F2" w:rsidRDefault="003F29F2" w:rsidP="003F29F2">
      <w:pPr>
        <w:jc w:val="center"/>
        <w:rPr>
          <w:rFonts w:ascii="Arial" w:eastAsia="Calibri" w:hAnsi="Arial" w:cs="Arial"/>
          <w:sz w:val="24"/>
          <w:szCs w:val="24"/>
        </w:rPr>
      </w:pPr>
      <w:r w:rsidRPr="003F29F2">
        <w:rPr>
          <w:rFonts w:ascii="Arial" w:eastAsia="Calibri" w:hAnsi="Arial" w:cs="Arial"/>
          <w:sz w:val="24"/>
          <w:szCs w:val="24"/>
        </w:rPr>
        <w:t>Taux de pauvreté en % (seuil à 60 % du revenu médian) avant et après redistribution</w:t>
      </w:r>
      <w:r w:rsidRPr="003F29F2">
        <w:rPr>
          <w:rFonts w:ascii="Arial" w:eastAsia="Calibri" w:hAnsi="Arial" w:cs="Arial"/>
          <w:sz w:val="24"/>
          <w:szCs w:val="24"/>
          <w:vertAlign w:val="superscript"/>
        </w:rPr>
        <w:t>1</w:t>
      </w:r>
    </w:p>
    <w:p w:rsidR="003F29F2" w:rsidRPr="003F29F2" w:rsidRDefault="003F29F2" w:rsidP="003F29F2">
      <w:pPr>
        <w:jc w:val="both"/>
        <w:rPr>
          <w:rFonts w:ascii="Arial" w:eastAsia="Calibri" w:hAnsi="Arial" w:cs="Arial"/>
          <w:b/>
          <w:sz w:val="24"/>
          <w:szCs w:val="24"/>
        </w:rPr>
      </w:pPr>
      <w:r>
        <w:rPr>
          <w:rFonts w:ascii="Calibri" w:eastAsia="Calibri" w:hAnsi="Calibri" w:cs="Times New Roman"/>
          <w:noProof/>
          <w:lang w:eastAsia="fr-FR"/>
        </w:rPr>
        <w:drawing>
          <wp:inline distT="0" distB="0" distL="0" distR="0">
            <wp:extent cx="5991225" cy="3267075"/>
            <wp:effectExtent l="0" t="0" r="0"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29F2" w:rsidRPr="003F29F2" w:rsidRDefault="003F29F2" w:rsidP="003F29F2">
      <w:pPr>
        <w:jc w:val="both"/>
        <w:rPr>
          <w:rFonts w:ascii="Arial" w:eastAsia="Calibri" w:hAnsi="Arial" w:cs="Arial"/>
        </w:rPr>
      </w:pPr>
      <w:r w:rsidRPr="003F29F2">
        <w:rPr>
          <w:rFonts w:ascii="Arial" w:eastAsia="Calibri" w:hAnsi="Arial" w:cs="Arial"/>
        </w:rPr>
        <w:t xml:space="preserve">                                                                   Source : Ministère des Affaires Sociales, 2012.</w:t>
      </w:r>
    </w:p>
    <w:p w:rsidR="003F29F2" w:rsidRPr="003F29F2" w:rsidRDefault="003F29F2" w:rsidP="003F29F2">
      <w:pPr>
        <w:spacing w:after="0" w:line="240" w:lineRule="auto"/>
        <w:jc w:val="both"/>
        <w:rPr>
          <w:rFonts w:ascii="Arial" w:eastAsia="Times New Roman" w:hAnsi="Arial" w:cs="Arial"/>
          <w:sz w:val="20"/>
          <w:szCs w:val="20"/>
          <w:lang w:eastAsia="fr-FR"/>
        </w:rPr>
      </w:pPr>
      <w:r w:rsidRPr="003F29F2">
        <w:rPr>
          <w:rFonts w:ascii="Arial" w:eastAsia="Calibri" w:hAnsi="Arial" w:cs="Arial"/>
          <w:sz w:val="20"/>
          <w:szCs w:val="20"/>
        </w:rPr>
        <w:t xml:space="preserve">Lecture : </w:t>
      </w:r>
      <w:r w:rsidRPr="003F29F2">
        <w:rPr>
          <w:rFonts w:ascii="Arial" w:eastAsia="Times New Roman" w:hAnsi="Arial" w:cs="Arial"/>
          <w:sz w:val="20"/>
          <w:szCs w:val="20"/>
          <w:lang w:eastAsia="fr-FR"/>
        </w:rPr>
        <w:t>24.3 % des personnes seules sont considérées comme pauvres avant redistribution car leur revenu est inférieur à 60 % du revenu médian.</w:t>
      </w:r>
    </w:p>
    <w:p w:rsidR="003F29F2" w:rsidRPr="003F29F2" w:rsidRDefault="003F29F2" w:rsidP="003F29F2">
      <w:pPr>
        <w:spacing w:after="0" w:line="240" w:lineRule="auto"/>
        <w:jc w:val="both"/>
        <w:rPr>
          <w:rFonts w:ascii="Arial" w:eastAsia="Calibri" w:hAnsi="Arial" w:cs="Arial"/>
          <w:sz w:val="20"/>
          <w:szCs w:val="20"/>
        </w:rPr>
      </w:pPr>
    </w:p>
    <w:p w:rsidR="003F29F2" w:rsidRPr="003F29F2" w:rsidRDefault="003F29F2" w:rsidP="003F29F2">
      <w:pPr>
        <w:jc w:val="both"/>
        <w:rPr>
          <w:rFonts w:ascii="Arial" w:eastAsia="Calibri" w:hAnsi="Arial" w:cs="Arial"/>
        </w:rPr>
      </w:pPr>
      <w:r w:rsidRPr="003F29F2">
        <w:rPr>
          <w:rFonts w:ascii="Arial" w:eastAsia="Calibri" w:hAnsi="Arial" w:cs="Arial"/>
        </w:rPr>
        <w:t>1</w:t>
      </w:r>
      <w:r w:rsidRPr="003F29F2">
        <w:rPr>
          <w:rFonts w:ascii="Arial" w:eastAsia="Calibri" w:hAnsi="Arial" w:cs="Arial"/>
          <w:vertAlign w:val="superscript"/>
        </w:rPr>
        <w:t> </w:t>
      </w:r>
      <w:r w:rsidRPr="003F29F2">
        <w:rPr>
          <w:rFonts w:ascii="Arial" w:eastAsia="Calibri" w:hAnsi="Arial" w:cs="Arial"/>
        </w:rPr>
        <w:t>: Opération qui consiste en des prélèvements et des versements de revenus de transfert.</w:t>
      </w:r>
    </w:p>
    <w:p w:rsidR="003F29F2" w:rsidRPr="003F29F2" w:rsidRDefault="003F29F2" w:rsidP="003F29F2">
      <w:pPr>
        <w:spacing w:after="0"/>
        <w:jc w:val="both"/>
        <w:rPr>
          <w:rFonts w:ascii="Arial" w:eastAsia="Calibri" w:hAnsi="Arial" w:cs="Arial"/>
          <w:b/>
          <w:sz w:val="24"/>
          <w:szCs w:val="24"/>
        </w:rPr>
      </w:pPr>
    </w:p>
    <w:p w:rsidR="003F29F2" w:rsidRPr="003F29F2" w:rsidRDefault="003F29F2" w:rsidP="003F29F2">
      <w:pPr>
        <w:spacing w:after="0" w:line="240" w:lineRule="auto"/>
        <w:jc w:val="both"/>
        <w:rPr>
          <w:rFonts w:ascii="Arial" w:eastAsia="Calibri" w:hAnsi="Arial" w:cs="Arial"/>
          <w:b/>
          <w:sz w:val="24"/>
          <w:szCs w:val="24"/>
        </w:rPr>
      </w:pPr>
    </w:p>
    <w:p w:rsidR="003F29F2" w:rsidRPr="003F29F2" w:rsidRDefault="003F29F2" w:rsidP="003F29F2">
      <w:pPr>
        <w:rPr>
          <w:rFonts w:ascii="Arial" w:eastAsia="Calibri" w:hAnsi="Arial" w:cs="Arial"/>
          <w:sz w:val="24"/>
          <w:szCs w:val="24"/>
        </w:rPr>
      </w:pPr>
    </w:p>
    <w:p w:rsidR="003F29F2" w:rsidRPr="003F29F2" w:rsidRDefault="003F29F2" w:rsidP="003F29F2">
      <w:pPr>
        <w:jc w:val="both"/>
        <w:rPr>
          <w:rFonts w:ascii="Arial" w:eastAsia="Calibri" w:hAnsi="Arial" w:cs="Arial"/>
          <w:color w:val="FF0000"/>
          <w:sz w:val="24"/>
          <w:szCs w:val="24"/>
        </w:rPr>
      </w:pPr>
      <w:r w:rsidRPr="003F29F2">
        <w:rPr>
          <w:rFonts w:ascii="Arial" w:eastAsia="Calibri" w:hAnsi="Arial" w:cs="Arial"/>
          <w:b/>
          <w:sz w:val="24"/>
          <w:szCs w:val="24"/>
        </w:rPr>
        <w:t>DOCUMENT 3</w:t>
      </w:r>
      <w:r w:rsidRPr="003F29F2">
        <w:rPr>
          <w:rFonts w:ascii="Arial" w:eastAsia="Calibri" w:hAnsi="Arial" w:cs="Arial"/>
          <w:sz w:val="24"/>
          <w:szCs w:val="24"/>
        </w:rPr>
        <w:t> </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 1944 : Les  femmes  obtiennent  le  droit  de  vote  et  l'éligibilité.</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1946 : Le préambule  de  la Constitution pose  le  principe  de l'égalité  des  droits  entre hommes  et femmes  dans  tous  les  domaines. […]</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1972 : Loi  du 22 décembre  relative  à l'égalité  de rémunération  entre les  hommes         et les femmes. […]</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1981 : Création d’un ministère des Droits de la femme. […]</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 xml:space="preserve">1983 : Loi  du 13  juillet  dite « loi </w:t>
      </w:r>
      <w:proofErr w:type="spellStart"/>
      <w:r w:rsidRPr="003F29F2">
        <w:rPr>
          <w:rFonts w:ascii="Arial" w:eastAsia="MS Mincho" w:hAnsi="Arial" w:cs="Arial"/>
          <w:color w:val="000000"/>
          <w:sz w:val="24"/>
          <w:szCs w:val="24"/>
          <w:lang w:eastAsia="fr-FR"/>
        </w:rPr>
        <w:t>Roudy</w:t>
      </w:r>
      <w:proofErr w:type="spellEnd"/>
      <w:r w:rsidRPr="003F29F2">
        <w:rPr>
          <w:rFonts w:ascii="Arial" w:eastAsia="MS Mincho" w:hAnsi="Arial" w:cs="Arial"/>
          <w:color w:val="000000"/>
          <w:sz w:val="24"/>
          <w:szCs w:val="24"/>
          <w:lang w:eastAsia="fr-FR"/>
        </w:rPr>
        <w:t> » portant  réforme du code  du travail et du code pénal en ce  qui concerne l'égalité  professionnelle des femmes. […]</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autoSpaceDE w:val="0"/>
        <w:autoSpaceDN w:val="0"/>
        <w:adjustRightInd w:val="0"/>
        <w:spacing w:after="0" w:line="240" w:lineRule="auto"/>
        <w:jc w:val="both"/>
        <w:rPr>
          <w:rFonts w:ascii="Arial" w:eastAsia="Calibri" w:hAnsi="Arial" w:cs="Arial"/>
          <w:sz w:val="24"/>
          <w:szCs w:val="24"/>
        </w:rPr>
      </w:pPr>
      <w:r w:rsidRPr="003F29F2">
        <w:rPr>
          <w:rFonts w:ascii="Arial" w:eastAsia="Calibri" w:hAnsi="Arial" w:cs="Arial"/>
          <w:sz w:val="24"/>
          <w:szCs w:val="24"/>
        </w:rPr>
        <w:lastRenderedPageBreak/>
        <w:t>1985 : Extension aux discriminations fondées sur le sexe et la situation de famille des sanctions prévues en matière d’agissements discriminatoires. Les associations pourront se porter partie civile dans les procès relatifs à des discriminations fondées sur le sexe. […]</w:t>
      </w:r>
    </w:p>
    <w:p w:rsidR="003F29F2" w:rsidRPr="003F29F2" w:rsidRDefault="003F29F2" w:rsidP="003F29F2">
      <w:pPr>
        <w:autoSpaceDE w:val="0"/>
        <w:autoSpaceDN w:val="0"/>
        <w:adjustRightInd w:val="0"/>
        <w:spacing w:after="0" w:line="240" w:lineRule="auto"/>
        <w:jc w:val="both"/>
        <w:rPr>
          <w:rFonts w:ascii="Arial" w:eastAsia="Calibri" w:hAnsi="Arial" w:cs="Arial"/>
          <w:sz w:val="24"/>
          <w:szCs w:val="24"/>
        </w:rPr>
      </w:pPr>
    </w:p>
    <w:p w:rsidR="003F29F2" w:rsidRPr="003F29F2" w:rsidRDefault="003F29F2" w:rsidP="003F29F2">
      <w:pPr>
        <w:autoSpaceDE w:val="0"/>
        <w:autoSpaceDN w:val="0"/>
        <w:adjustRightInd w:val="0"/>
        <w:spacing w:after="0" w:line="240" w:lineRule="auto"/>
        <w:jc w:val="both"/>
        <w:rPr>
          <w:rFonts w:ascii="Arial" w:eastAsia="Calibri" w:hAnsi="Arial" w:cs="Arial"/>
          <w:sz w:val="24"/>
          <w:szCs w:val="24"/>
        </w:rPr>
      </w:pPr>
      <w:r w:rsidRPr="003F29F2">
        <w:rPr>
          <w:rFonts w:ascii="Arial" w:eastAsia="Calibri" w:hAnsi="Arial" w:cs="Arial"/>
          <w:sz w:val="24"/>
          <w:szCs w:val="24"/>
        </w:rPr>
        <w:t>1991 : La cour de justice des Communautés européennes considère qu’une interdiction du travail de nuit des femmes est discriminatoire et contraire au principe d’égalité professionnelle.</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Édith Cresson est la première femme nommée Premier ministre. […]</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2000 : Loi  du 6 juin  sur  l'égal  accès  des  femmes et des  hommes aux  mandats électoraux et aux fonctions  électives. […]</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autoSpaceDE w:val="0"/>
        <w:autoSpaceDN w:val="0"/>
        <w:adjustRightInd w:val="0"/>
        <w:spacing w:after="0" w:line="240" w:lineRule="auto"/>
        <w:jc w:val="both"/>
        <w:rPr>
          <w:rFonts w:ascii="Arial" w:eastAsia="Calibri" w:hAnsi="Arial" w:cs="Arial"/>
          <w:color w:val="FF0000"/>
          <w:sz w:val="24"/>
          <w:szCs w:val="24"/>
        </w:rPr>
      </w:pPr>
      <w:r w:rsidRPr="003F29F2">
        <w:rPr>
          <w:rFonts w:ascii="Arial" w:eastAsia="Calibri" w:hAnsi="Arial" w:cs="Arial"/>
          <w:sz w:val="24"/>
          <w:szCs w:val="24"/>
        </w:rPr>
        <w:t>2001 : Loi du 9 mai, dite « loi Génisson » sur l’égalité professionnelle entre les femmes et les hommes. […]</w:t>
      </w:r>
    </w:p>
    <w:p w:rsidR="003F29F2" w:rsidRPr="003F29F2" w:rsidRDefault="003F29F2" w:rsidP="003F29F2">
      <w:pPr>
        <w:autoSpaceDE w:val="0"/>
        <w:autoSpaceDN w:val="0"/>
        <w:adjustRightInd w:val="0"/>
        <w:spacing w:after="0" w:line="240" w:lineRule="auto"/>
        <w:jc w:val="both"/>
        <w:rPr>
          <w:rFonts w:ascii="Arial" w:eastAsia="Calibri" w:hAnsi="Arial" w:cs="Arial"/>
          <w:sz w:val="24"/>
          <w:szCs w:val="24"/>
        </w:rPr>
      </w:pPr>
      <w:r w:rsidRPr="003F29F2">
        <w:rPr>
          <w:rFonts w:ascii="Arial" w:eastAsia="Calibri" w:hAnsi="Arial" w:cs="Arial"/>
          <w:sz w:val="24"/>
          <w:szCs w:val="24"/>
        </w:rPr>
        <w:t>Loi du 16 novembre relative à la lutte contre les discriminations à l’emploi</w:t>
      </w:r>
      <w:r w:rsidRPr="003F29F2">
        <w:rPr>
          <w:rFonts w:ascii="Arial" w:eastAsia="Calibri" w:hAnsi="Arial" w:cs="Arial"/>
          <w:color w:val="FF0000"/>
          <w:sz w:val="24"/>
          <w:szCs w:val="24"/>
        </w:rPr>
        <w:t xml:space="preserve"> </w:t>
      </w:r>
      <w:r w:rsidRPr="003F29F2">
        <w:rPr>
          <w:rFonts w:ascii="Arial" w:eastAsia="Calibri" w:hAnsi="Arial" w:cs="Arial"/>
          <w:sz w:val="24"/>
          <w:szCs w:val="24"/>
        </w:rPr>
        <w:t>[…].</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2007 : Loi du  31 janvier  tendant  à promouvoir  l'égal  accès  des femmes  et  des hommes  aux  mandats  électoraux  et aux fonctions  électives. […]</w:t>
      </w: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p>
    <w:p w:rsidR="003F29F2" w:rsidRPr="003F29F2" w:rsidRDefault="003F29F2" w:rsidP="003F29F2">
      <w:pPr>
        <w:widowControl w:val="0"/>
        <w:autoSpaceDE w:val="0"/>
        <w:autoSpaceDN w:val="0"/>
        <w:adjustRightInd w:val="0"/>
        <w:spacing w:after="0" w:line="240" w:lineRule="auto"/>
        <w:jc w:val="both"/>
        <w:rPr>
          <w:rFonts w:ascii="Arial" w:eastAsia="MS Mincho" w:hAnsi="Arial" w:cs="Arial"/>
          <w:color w:val="000000"/>
          <w:sz w:val="24"/>
          <w:szCs w:val="24"/>
          <w:lang w:eastAsia="fr-FR"/>
        </w:rPr>
      </w:pPr>
      <w:r w:rsidRPr="003F29F2">
        <w:rPr>
          <w:rFonts w:ascii="Arial" w:eastAsia="MS Mincho" w:hAnsi="Arial" w:cs="Arial"/>
          <w:color w:val="000000"/>
          <w:sz w:val="24"/>
          <w:szCs w:val="24"/>
          <w:lang w:eastAsia="fr-FR"/>
        </w:rPr>
        <w:t>2011 : Loi  du  27  janvier  relative  à la  représentation  équilibrée  des  femmes  et  des hommes  au  sein des conseils  d'administration  et de  surveillance  et  à l'égalité professionnelle.</w:t>
      </w:r>
    </w:p>
    <w:p w:rsidR="003F29F2" w:rsidRPr="003F29F2" w:rsidRDefault="003F29F2" w:rsidP="003F29F2">
      <w:pPr>
        <w:widowControl w:val="0"/>
        <w:autoSpaceDE w:val="0"/>
        <w:autoSpaceDN w:val="0"/>
        <w:adjustRightInd w:val="0"/>
        <w:spacing w:after="0" w:line="240" w:lineRule="auto"/>
        <w:rPr>
          <w:rFonts w:ascii="Arial" w:eastAsia="MS Mincho" w:hAnsi="Arial" w:cs="Arial"/>
          <w:color w:val="000000"/>
          <w:sz w:val="24"/>
          <w:szCs w:val="24"/>
          <w:lang w:eastAsia="fr-FR"/>
        </w:rPr>
      </w:pPr>
    </w:p>
    <w:p w:rsidR="003F29F2" w:rsidRPr="003F29F2" w:rsidRDefault="003F29F2" w:rsidP="003F29F2">
      <w:pPr>
        <w:widowControl w:val="0"/>
        <w:autoSpaceDE w:val="0"/>
        <w:autoSpaceDN w:val="0"/>
        <w:adjustRightInd w:val="0"/>
        <w:spacing w:after="0" w:line="240" w:lineRule="auto"/>
        <w:jc w:val="right"/>
        <w:rPr>
          <w:rFonts w:ascii="Arial" w:eastAsia="MS Mincho" w:hAnsi="Arial" w:cs="Arial"/>
          <w:color w:val="000000"/>
          <w:lang w:eastAsia="fr-FR"/>
        </w:rPr>
      </w:pPr>
      <w:r w:rsidRPr="003F29F2">
        <w:rPr>
          <w:rFonts w:ascii="Arial" w:eastAsia="MS Mincho" w:hAnsi="Arial" w:cs="Arial"/>
          <w:color w:val="000000"/>
          <w:lang w:eastAsia="fr-FR"/>
        </w:rPr>
        <w:t xml:space="preserve">Source : D’après </w:t>
      </w:r>
      <w:r w:rsidRPr="003F29F2">
        <w:rPr>
          <w:rFonts w:ascii="Arial" w:eastAsia="MS Mincho" w:hAnsi="Arial" w:cs="Arial"/>
          <w:i/>
          <w:color w:val="000000"/>
          <w:lang w:eastAsia="fr-FR"/>
        </w:rPr>
        <w:t>Regards  sur la parité</w:t>
      </w:r>
      <w:r w:rsidRPr="003F29F2">
        <w:rPr>
          <w:rFonts w:ascii="Arial" w:eastAsia="MS Mincho" w:hAnsi="Arial" w:cs="Arial"/>
          <w:color w:val="000000"/>
          <w:lang w:eastAsia="fr-FR"/>
        </w:rPr>
        <w:t>, INSEE,  2012.</w:t>
      </w:r>
    </w:p>
    <w:p w:rsidR="003F29F2" w:rsidRPr="003F29F2" w:rsidRDefault="003F29F2" w:rsidP="003F29F2">
      <w:pPr>
        <w:rPr>
          <w:rFonts w:ascii="Arial" w:eastAsia="Times New Roman" w:hAnsi="Arial" w:cs="Arial"/>
          <w:b/>
          <w:bCs/>
          <w:sz w:val="24"/>
          <w:szCs w:val="24"/>
          <w:lang w:eastAsia="fr-FR"/>
        </w:rPr>
      </w:pPr>
    </w:p>
    <w:p w:rsidR="003F29F2" w:rsidRPr="003F29F2" w:rsidRDefault="003F29F2" w:rsidP="003F29F2">
      <w:pPr>
        <w:rPr>
          <w:rFonts w:ascii="Arial" w:eastAsia="Times New Roman" w:hAnsi="Arial" w:cs="Arial"/>
          <w:b/>
          <w:bCs/>
          <w:sz w:val="24"/>
          <w:szCs w:val="24"/>
          <w:lang w:eastAsia="fr-FR"/>
        </w:rPr>
      </w:pPr>
    </w:p>
    <w:p w:rsidR="003F29F2" w:rsidRPr="003F29F2" w:rsidRDefault="003F29F2" w:rsidP="003F29F2">
      <w:pPr>
        <w:rPr>
          <w:rFonts w:ascii="Arial" w:eastAsia="Times New Roman" w:hAnsi="Arial" w:cs="Arial"/>
          <w:b/>
          <w:bCs/>
          <w:sz w:val="24"/>
          <w:szCs w:val="24"/>
          <w:lang w:eastAsia="fr-FR"/>
        </w:rPr>
      </w:pPr>
    </w:p>
    <w:p w:rsidR="003F29F2" w:rsidRPr="003F29F2" w:rsidRDefault="003F29F2" w:rsidP="003F29F2">
      <w:pPr>
        <w:rPr>
          <w:rFonts w:ascii="Arial" w:eastAsia="Times New Roman" w:hAnsi="Arial" w:cs="Arial"/>
          <w:b/>
          <w:bCs/>
          <w:sz w:val="24"/>
          <w:szCs w:val="24"/>
          <w:lang w:eastAsia="fr-FR"/>
        </w:rPr>
      </w:pPr>
    </w:p>
    <w:p w:rsidR="003F29F2" w:rsidRPr="003F29F2" w:rsidRDefault="003F29F2" w:rsidP="003F29F2">
      <w:pPr>
        <w:rPr>
          <w:rFonts w:ascii="Arial" w:eastAsia="Times New Roman" w:hAnsi="Arial" w:cs="Arial"/>
          <w:b/>
          <w:bCs/>
          <w:sz w:val="24"/>
          <w:szCs w:val="24"/>
          <w:lang w:eastAsia="fr-FR"/>
        </w:rPr>
      </w:pPr>
    </w:p>
    <w:p w:rsidR="003F29F2" w:rsidRPr="003F29F2" w:rsidRDefault="003F29F2" w:rsidP="003F29F2">
      <w:pPr>
        <w:rPr>
          <w:rFonts w:ascii="Arial" w:eastAsia="Calibri" w:hAnsi="Arial" w:cs="Arial"/>
          <w:sz w:val="24"/>
          <w:szCs w:val="24"/>
        </w:rPr>
      </w:pPr>
    </w:p>
    <w:p w:rsidR="003F29F2" w:rsidRPr="003F29F2" w:rsidRDefault="003F29F2" w:rsidP="003F29F2">
      <w:pPr>
        <w:rPr>
          <w:rFonts w:ascii="Arial" w:eastAsia="Calibri" w:hAnsi="Arial" w:cs="Arial"/>
          <w:sz w:val="24"/>
          <w:szCs w:val="24"/>
        </w:rPr>
      </w:pPr>
    </w:p>
    <w:p w:rsidR="003F29F2" w:rsidRPr="003F29F2" w:rsidRDefault="003F29F2" w:rsidP="003F29F2">
      <w:pPr>
        <w:rPr>
          <w:rFonts w:ascii="Arial" w:eastAsia="Calibri" w:hAnsi="Arial" w:cs="Arial"/>
          <w:sz w:val="24"/>
          <w:szCs w:val="24"/>
        </w:rPr>
      </w:pPr>
    </w:p>
    <w:p w:rsidR="003F29F2" w:rsidRPr="003F29F2" w:rsidRDefault="003F29F2" w:rsidP="003F29F2">
      <w:pPr>
        <w:rPr>
          <w:rFonts w:ascii="Arial" w:eastAsia="Calibri" w:hAnsi="Arial" w:cs="Arial"/>
          <w:sz w:val="24"/>
          <w:szCs w:val="24"/>
        </w:rPr>
      </w:pPr>
    </w:p>
    <w:p w:rsidR="003F29F2" w:rsidRPr="003F29F2" w:rsidRDefault="003F29F2" w:rsidP="003F29F2">
      <w:pPr>
        <w:rPr>
          <w:rFonts w:ascii="Arial" w:eastAsia="Calibri" w:hAnsi="Arial" w:cs="Arial"/>
          <w:sz w:val="24"/>
          <w:szCs w:val="24"/>
        </w:rPr>
      </w:pPr>
    </w:p>
    <w:p w:rsidR="003F29F2" w:rsidRPr="003F29F2" w:rsidRDefault="003F29F2" w:rsidP="003F29F2">
      <w:pPr>
        <w:rPr>
          <w:rFonts w:ascii="Arial" w:eastAsia="Calibri" w:hAnsi="Arial" w:cs="Arial"/>
          <w:sz w:val="24"/>
          <w:szCs w:val="24"/>
        </w:rPr>
      </w:pPr>
    </w:p>
    <w:p w:rsidR="003F29F2" w:rsidRPr="003F29F2" w:rsidRDefault="003F29F2" w:rsidP="003F29F2">
      <w:pPr>
        <w:rPr>
          <w:rFonts w:ascii="Arial" w:eastAsia="Calibri" w:hAnsi="Arial" w:cs="Arial"/>
          <w:sz w:val="24"/>
          <w:szCs w:val="24"/>
        </w:rPr>
      </w:pPr>
    </w:p>
    <w:p w:rsidR="00E954C1" w:rsidRDefault="00E954C1"/>
    <w:sectPr w:rsidR="00E95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7736"/>
    <w:multiLevelType w:val="hybridMultilevel"/>
    <w:tmpl w:val="DD767D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F2"/>
    <w:rsid w:val="003F29F2"/>
    <w:rsid w:val="00E95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29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29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Feuil1!$B$1</c:f>
              <c:strCache>
                <c:ptCount val="1"/>
                <c:pt idx="0">
                  <c:v>Avant redistribution</c:v>
                </c:pt>
              </c:strCache>
            </c:strRef>
          </c:tx>
          <c:invertIfNegative val="0"/>
          <c:dLbls>
            <c:dLblPos val="outEnd"/>
            <c:showLegendKey val="0"/>
            <c:showVal val="1"/>
            <c:showCatName val="0"/>
            <c:showSerName val="0"/>
            <c:showPercent val="0"/>
            <c:showBubbleSize val="0"/>
            <c:showLeaderLines val="0"/>
          </c:dLbls>
          <c:cat>
            <c:strRef>
              <c:f>Feuil1!$A$2:$A$9</c:f>
              <c:strCache>
                <c:ptCount val="8"/>
                <c:pt idx="0">
                  <c:v>Personne seule</c:v>
                </c:pt>
                <c:pt idx="1">
                  <c:v>Famille monoparentale avec 1 enfant</c:v>
                </c:pt>
                <c:pt idx="2">
                  <c:v>Famille monoparentale avec 2 enfants ou plus</c:v>
                </c:pt>
                <c:pt idx="3">
                  <c:v>Couple sans enfant</c:v>
                </c:pt>
                <c:pt idx="4">
                  <c:v>Couple avec 1 enfant</c:v>
                </c:pt>
                <c:pt idx="5">
                  <c:v>Couple avec 2 enfants</c:v>
                </c:pt>
                <c:pt idx="6">
                  <c:v>Couple avec 3 enfants ou plus</c:v>
                </c:pt>
                <c:pt idx="7">
                  <c:v>Ensemble</c:v>
                </c:pt>
              </c:strCache>
            </c:strRef>
          </c:cat>
          <c:val>
            <c:numRef>
              <c:f>Feuil1!$B$2:$B$9</c:f>
              <c:numCache>
                <c:formatCode>General</c:formatCode>
                <c:ptCount val="8"/>
                <c:pt idx="0">
                  <c:v>24.3</c:v>
                </c:pt>
                <c:pt idx="1">
                  <c:v>37.799999999999997</c:v>
                </c:pt>
                <c:pt idx="2">
                  <c:v>63</c:v>
                </c:pt>
                <c:pt idx="3">
                  <c:v>8.8000000000000007</c:v>
                </c:pt>
                <c:pt idx="4">
                  <c:v>12.1</c:v>
                </c:pt>
                <c:pt idx="5">
                  <c:v>15.9</c:v>
                </c:pt>
                <c:pt idx="6">
                  <c:v>41.5</c:v>
                </c:pt>
                <c:pt idx="7">
                  <c:v>22.3</c:v>
                </c:pt>
              </c:numCache>
            </c:numRef>
          </c:val>
        </c:ser>
        <c:ser>
          <c:idx val="1"/>
          <c:order val="1"/>
          <c:tx>
            <c:strRef>
              <c:f>Feuil1!$C$1</c:f>
              <c:strCache>
                <c:ptCount val="1"/>
                <c:pt idx="0">
                  <c:v>Après redistribution</c:v>
                </c:pt>
              </c:strCache>
            </c:strRef>
          </c:tx>
          <c:invertIfNegative val="0"/>
          <c:dLbls>
            <c:dLblPos val="ctr"/>
            <c:showLegendKey val="0"/>
            <c:showVal val="1"/>
            <c:showCatName val="0"/>
            <c:showSerName val="0"/>
            <c:showPercent val="0"/>
            <c:showBubbleSize val="0"/>
            <c:showLeaderLines val="0"/>
          </c:dLbls>
          <c:cat>
            <c:strRef>
              <c:f>Feuil1!$A$2:$A$9</c:f>
              <c:strCache>
                <c:ptCount val="8"/>
                <c:pt idx="0">
                  <c:v>Personne seule</c:v>
                </c:pt>
                <c:pt idx="1">
                  <c:v>Famille monoparentale avec 1 enfant</c:v>
                </c:pt>
                <c:pt idx="2">
                  <c:v>Famille monoparentale avec 2 enfants ou plus</c:v>
                </c:pt>
                <c:pt idx="3">
                  <c:v>Couple sans enfant</c:v>
                </c:pt>
                <c:pt idx="4">
                  <c:v>Couple avec 1 enfant</c:v>
                </c:pt>
                <c:pt idx="5">
                  <c:v>Couple avec 2 enfants</c:v>
                </c:pt>
                <c:pt idx="6">
                  <c:v>Couple avec 3 enfants ou plus</c:v>
                </c:pt>
                <c:pt idx="7">
                  <c:v>Ensemble</c:v>
                </c:pt>
              </c:strCache>
            </c:strRef>
          </c:cat>
          <c:val>
            <c:numRef>
              <c:f>Feuil1!$C$2:$C$9</c:f>
              <c:numCache>
                <c:formatCode>General</c:formatCode>
                <c:ptCount val="8"/>
                <c:pt idx="0">
                  <c:v>16.2</c:v>
                </c:pt>
                <c:pt idx="1">
                  <c:v>21.4</c:v>
                </c:pt>
                <c:pt idx="2">
                  <c:v>42</c:v>
                </c:pt>
                <c:pt idx="3">
                  <c:v>6.2</c:v>
                </c:pt>
                <c:pt idx="4">
                  <c:v>7.6</c:v>
                </c:pt>
                <c:pt idx="5">
                  <c:v>9.6999999999999993</c:v>
                </c:pt>
                <c:pt idx="6">
                  <c:v>22.2</c:v>
                </c:pt>
                <c:pt idx="7">
                  <c:v>13.5</c:v>
                </c:pt>
              </c:numCache>
            </c:numRef>
          </c:val>
        </c:ser>
        <c:dLbls>
          <c:showLegendKey val="0"/>
          <c:showVal val="0"/>
          <c:showCatName val="0"/>
          <c:showSerName val="0"/>
          <c:showPercent val="0"/>
          <c:showBubbleSize val="0"/>
        </c:dLbls>
        <c:gapWidth val="150"/>
        <c:axId val="133063424"/>
        <c:axId val="133064960"/>
      </c:barChart>
      <c:catAx>
        <c:axId val="133063424"/>
        <c:scaling>
          <c:orientation val="minMax"/>
        </c:scaling>
        <c:delete val="0"/>
        <c:axPos val="l"/>
        <c:numFmt formatCode="General" sourceLinked="1"/>
        <c:majorTickMark val="out"/>
        <c:minorTickMark val="none"/>
        <c:tickLblPos val="nextTo"/>
        <c:crossAx val="133064960"/>
        <c:crosses val="autoZero"/>
        <c:auto val="1"/>
        <c:lblAlgn val="ctr"/>
        <c:lblOffset val="100"/>
        <c:noMultiLvlLbl val="0"/>
      </c:catAx>
      <c:valAx>
        <c:axId val="133064960"/>
        <c:scaling>
          <c:orientation val="minMax"/>
        </c:scaling>
        <c:delete val="0"/>
        <c:axPos val="b"/>
        <c:majorGridlines/>
        <c:numFmt formatCode="General" sourceLinked="1"/>
        <c:majorTickMark val="out"/>
        <c:minorTickMark val="none"/>
        <c:tickLblPos val="nextTo"/>
        <c:crossAx val="1330634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cardon</dc:creator>
  <cp:lastModifiedBy>estelle cardon</cp:lastModifiedBy>
  <cp:revision>1</cp:revision>
  <dcterms:created xsi:type="dcterms:W3CDTF">2018-01-03T13:43:00Z</dcterms:created>
  <dcterms:modified xsi:type="dcterms:W3CDTF">2018-01-03T13:44:00Z</dcterms:modified>
</cp:coreProperties>
</file>