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20C" w:rsidRPr="00CC30BC" w:rsidRDefault="00A7120C" w:rsidP="00A7120C">
      <w:pPr>
        <w:widowControl w:val="0"/>
        <w:numPr>
          <w:ilvl w:val="6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0"/>
        </w:tabs>
        <w:suppressAutoHyphens/>
        <w:ind w:right="-1"/>
        <w:jc w:val="center"/>
        <w:outlineLvl w:val="6"/>
        <w:rPr>
          <w:rFonts w:cs="Tahoma"/>
          <w:b/>
          <w:bCs/>
          <w:color w:val="000000"/>
          <w:kern w:val="1"/>
          <w:sz w:val="28"/>
          <w:szCs w:val="28"/>
          <w:lang w:eastAsia="hi-IN" w:bidi="hi-IN"/>
        </w:rPr>
      </w:pPr>
      <w:r w:rsidRPr="00CC30BC">
        <w:rPr>
          <w:rFonts w:cs="Tahoma"/>
          <w:b/>
          <w:bCs/>
          <w:color w:val="000000"/>
          <w:kern w:val="1"/>
          <w:sz w:val="28"/>
          <w:szCs w:val="28"/>
          <w:lang w:eastAsia="hi-IN" w:bidi="hi-IN"/>
        </w:rPr>
        <w:t xml:space="preserve">Dissertation </w:t>
      </w:r>
      <w:r>
        <w:rPr>
          <w:rFonts w:cs="Tahoma"/>
          <w:b/>
          <w:bCs/>
          <w:color w:val="000000"/>
          <w:kern w:val="1"/>
          <w:sz w:val="28"/>
          <w:szCs w:val="28"/>
          <w:lang w:eastAsia="hi-IN" w:bidi="hi-IN"/>
        </w:rPr>
        <w:t>s’</w:t>
      </w:r>
      <w:r w:rsidRPr="00CC30BC">
        <w:rPr>
          <w:rFonts w:cs="Tahoma"/>
          <w:b/>
          <w:bCs/>
          <w:color w:val="000000"/>
          <w:kern w:val="1"/>
          <w:sz w:val="28"/>
          <w:szCs w:val="28"/>
          <w:lang w:eastAsia="hi-IN" w:bidi="hi-IN"/>
        </w:rPr>
        <w:t>appuy</w:t>
      </w:r>
      <w:r>
        <w:rPr>
          <w:rFonts w:cs="Tahoma"/>
          <w:b/>
          <w:bCs/>
          <w:color w:val="000000"/>
          <w:kern w:val="1"/>
          <w:sz w:val="28"/>
          <w:szCs w:val="28"/>
          <w:lang w:eastAsia="hi-IN" w:bidi="hi-IN"/>
        </w:rPr>
        <w:t>ant</w:t>
      </w:r>
      <w:r w:rsidRPr="00CC30BC">
        <w:rPr>
          <w:rFonts w:cs="Tahoma"/>
          <w:b/>
          <w:bCs/>
          <w:color w:val="000000"/>
          <w:kern w:val="1"/>
          <w:sz w:val="28"/>
          <w:szCs w:val="28"/>
          <w:lang w:eastAsia="hi-IN" w:bidi="hi-IN"/>
        </w:rPr>
        <w:t xml:space="preserve"> sur un dossier documentaire </w:t>
      </w:r>
    </w:p>
    <w:p w:rsidR="00A7120C" w:rsidRPr="00CC30BC" w:rsidRDefault="00A7120C" w:rsidP="00A7120C">
      <w:pPr>
        <w:tabs>
          <w:tab w:val="left" w:pos="142"/>
        </w:tabs>
        <w:suppressAutoHyphens/>
        <w:jc w:val="both"/>
        <w:rPr>
          <w:rFonts w:cs="Arial"/>
        </w:rPr>
      </w:pPr>
    </w:p>
    <w:p w:rsidR="00A7120C" w:rsidRPr="00713017" w:rsidRDefault="00A7120C" w:rsidP="00A7120C">
      <w:pPr>
        <w:jc w:val="both"/>
        <w:rPr>
          <w:i/>
        </w:rPr>
      </w:pPr>
      <w:r w:rsidRPr="00713017">
        <w:rPr>
          <w:i/>
        </w:rPr>
        <w:t>Il est demandé au candidat :</w:t>
      </w:r>
    </w:p>
    <w:p w:rsidR="00A7120C" w:rsidRPr="00713017" w:rsidRDefault="00A7120C" w:rsidP="00A7120C">
      <w:pPr>
        <w:numPr>
          <w:ilvl w:val="0"/>
          <w:numId w:val="1"/>
        </w:numPr>
        <w:jc w:val="both"/>
        <w:rPr>
          <w:i/>
        </w:rPr>
      </w:pPr>
      <w:r w:rsidRPr="00713017">
        <w:rPr>
          <w:i/>
        </w:rPr>
        <w:t>de répondre à la question posée par le sujet ;</w:t>
      </w:r>
    </w:p>
    <w:p w:rsidR="00A7120C" w:rsidRPr="00713017" w:rsidRDefault="00A7120C" w:rsidP="00A7120C">
      <w:pPr>
        <w:numPr>
          <w:ilvl w:val="0"/>
          <w:numId w:val="1"/>
        </w:numPr>
        <w:jc w:val="both"/>
        <w:rPr>
          <w:i/>
        </w:rPr>
      </w:pPr>
      <w:r w:rsidRPr="00713017">
        <w:rPr>
          <w:i/>
        </w:rPr>
        <w:t>de construire une argumentation à partir d'une problématique qu'il devra élaborer ;</w:t>
      </w:r>
    </w:p>
    <w:p w:rsidR="00A7120C" w:rsidRPr="00713017" w:rsidRDefault="00A7120C" w:rsidP="00A7120C">
      <w:pPr>
        <w:numPr>
          <w:ilvl w:val="0"/>
          <w:numId w:val="1"/>
        </w:numPr>
        <w:jc w:val="both"/>
        <w:rPr>
          <w:i/>
        </w:rPr>
      </w:pPr>
      <w:r w:rsidRPr="00713017">
        <w:rPr>
          <w:i/>
        </w:rPr>
        <w:t>de mobiliser des connaissances et des informations pertinentes pour traiter le sujet, notamment celles figurant dans le dossier ;</w:t>
      </w:r>
    </w:p>
    <w:p w:rsidR="00A7120C" w:rsidRPr="00713017" w:rsidRDefault="00A7120C" w:rsidP="00A7120C">
      <w:pPr>
        <w:numPr>
          <w:ilvl w:val="0"/>
          <w:numId w:val="1"/>
        </w:numPr>
        <w:jc w:val="both"/>
        <w:rPr>
          <w:i/>
        </w:rPr>
      </w:pPr>
      <w:r w:rsidRPr="00713017">
        <w:rPr>
          <w:i/>
        </w:rPr>
        <w:t>de rédiger</w:t>
      </w:r>
      <w:r>
        <w:rPr>
          <w:i/>
        </w:rPr>
        <w:t>,</w:t>
      </w:r>
      <w:r w:rsidRPr="00713017">
        <w:rPr>
          <w:i/>
        </w:rPr>
        <w:t xml:space="preserve"> en utilisant le vocabulaire économique et social spécifique et approprié à la question, en organisant le développement sous la forme d'un plan cohérent qui ménage l'équilibre des parties.</w:t>
      </w:r>
    </w:p>
    <w:p w:rsidR="00A7120C" w:rsidRPr="00713017" w:rsidRDefault="00A7120C" w:rsidP="00A7120C">
      <w:pPr>
        <w:jc w:val="both"/>
        <w:rPr>
          <w:i/>
        </w:rPr>
      </w:pPr>
    </w:p>
    <w:p w:rsidR="00A7120C" w:rsidRPr="00713017" w:rsidRDefault="00A7120C" w:rsidP="00A7120C">
      <w:pPr>
        <w:jc w:val="both"/>
        <w:rPr>
          <w:i/>
        </w:rPr>
      </w:pPr>
      <w:r w:rsidRPr="00713017">
        <w:rPr>
          <w:i/>
        </w:rPr>
        <w:t>Il sera tenu compte, dans la notation, de la clarté de l'expression et du soin apporté à la présentation.</w:t>
      </w:r>
    </w:p>
    <w:p w:rsidR="00A7120C" w:rsidRPr="00CC30BC" w:rsidRDefault="00A7120C" w:rsidP="00A7120C">
      <w:pPr>
        <w:tabs>
          <w:tab w:val="left" w:pos="142"/>
        </w:tabs>
        <w:suppressAutoHyphens/>
        <w:jc w:val="both"/>
        <w:rPr>
          <w:rFonts w:cs="Arial"/>
        </w:rPr>
      </w:pPr>
    </w:p>
    <w:p w:rsidR="00A7120C" w:rsidRPr="00E41F68" w:rsidRDefault="00A7120C" w:rsidP="00A7120C">
      <w:pPr>
        <w:jc w:val="center"/>
        <w:rPr>
          <w:rFonts w:cs="Arial"/>
          <w:b/>
          <w:sz w:val="24"/>
          <w:szCs w:val="24"/>
        </w:rPr>
      </w:pPr>
      <w:r w:rsidRPr="00E41F68">
        <w:rPr>
          <w:rFonts w:cs="Arial"/>
          <w:b/>
          <w:sz w:val="24"/>
          <w:szCs w:val="24"/>
        </w:rPr>
        <w:t>SUJET</w:t>
      </w:r>
    </w:p>
    <w:p w:rsidR="00A7120C" w:rsidRDefault="00A7120C" w:rsidP="00A7120C">
      <w:pPr>
        <w:suppressAutoHyphens/>
        <w:jc w:val="center"/>
        <w:rPr>
          <w:rFonts w:cs="Arial"/>
          <w:i/>
          <w:color w:val="000000"/>
          <w:sz w:val="24"/>
          <w:szCs w:val="24"/>
          <w:lang w:eastAsia="ar-SA"/>
        </w:rPr>
      </w:pPr>
    </w:p>
    <w:p w:rsidR="00A7120C" w:rsidRPr="007D7DC1" w:rsidRDefault="00A7120C" w:rsidP="00A7120C">
      <w:pPr>
        <w:suppressAutoHyphens/>
        <w:jc w:val="center"/>
        <w:rPr>
          <w:rFonts w:cs="Arial"/>
          <w:i/>
          <w:color w:val="000000"/>
          <w:sz w:val="24"/>
          <w:szCs w:val="24"/>
          <w:lang w:eastAsia="ar-SA"/>
        </w:rPr>
      </w:pPr>
      <w:r w:rsidRPr="007D7DC1">
        <w:rPr>
          <w:rFonts w:cs="Arial"/>
          <w:i/>
          <w:color w:val="000000"/>
          <w:sz w:val="24"/>
          <w:szCs w:val="24"/>
          <w:lang w:eastAsia="ar-SA"/>
        </w:rPr>
        <w:t>Ce sujet comporte</w:t>
      </w:r>
      <w:r w:rsidR="00F50689">
        <w:rPr>
          <w:rFonts w:cs="Arial"/>
          <w:i/>
          <w:color w:val="000000"/>
          <w:sz w:val="24"/>
          <w:szCs w:val="24"/>
          <w:lang w:eastAsia="ar-SA"/>
        </w:rPr>
        <w:t xml:space="preserve"> quatre</w:t>
      </w:r>
      <w:r>
        <w:rPr>
          <w:rFonts w:cs="Arial"/>
          <w:i/>
          <w:color w:val="000000"/>
          <w:sz w:val="24"/>
          <w:szCs w:val="24"/>
          <w:lang w:eastAsia="ar-SA"/>
        </w:rPr>
        <w:t xml:space="preserve"> documents.</w:t>
      </w:r>
    </w:p>
    <w:p w:rsidR="00A7120C" w:rsidRPr="00E41F68" w:rsidRDefault="00A7120C" w:rsidP="00A7120C">
      <w:pPr>
        <w:jc w:val="center"/>
        <w:rPr>
          <w:rFonts w:cs="Arial"/>
          <w:b/>
          <w:sz w:val="24"/>
          <w:szCs w:val="24"/>
        </w:rPr>
      </w:pPr>
    </w:p>
    <w:p w:rsidR="00A7120C" w:rsidRPr="00E41F68" w:rsidRDefault="00791278" w:rsidP="00A7120C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Quels sont les choix que l’entreprise doit effectuer pour produire ?</w:t>
      </w:r>
    </w:p>
    <w:p w:rsidR="00A7120C" w:rsidRPr="00E41F68" w:rsidRDefault="00A7120C" w:rsidP="00A7120C">
      <w:pPr>
        <w:rPr>
          <w:rFonts w:cs="Arial"/>
          <w:sz w:val="24"/>
          <w:szCs w:val="24"/>
        </w:rPr>
      </w:pPr>
    </w:p>
    <w:p w:rsidR="00A7120C" w:rsidRDefault="00A7120C" w:rsidP="00A7120C">
      <w:pPr>
        <w:rPr>
          <w:rFonts w:cs="Arial"/>
          <w:b/>
          <w:sz w:val="24"/>
          <w:szCs w:val="24"/>
        </w:rPr>
      </w:pPr>
      <w:r w:rsidRPr="00E41F68">
        <w:rPr>
          <w:rFonts w:cs="Arial"/>
          <w:b/>
          <w:sz w:val="24"/>
          <w:szCs w:val="24"/>
        </w:rPr>
        <w:t>DOCUMENT 1</w:t>
      </w:r>
    </w:p>
    <w:p w:rsidR="00AA1DE6" w:rsidRPr="006F3832" w:rsidRDefault="00AA1DE6" w:rsidP="00A7120C">
      <w:pPr>
        <w:rPr>
          <w:rFonts w:cs="Arial"/>
          <w:color w:val="FF0000"/>
          <w:sz w:val="24"/>
          <w:szCs w:val="24"/>
        </w:rPr>
      </w:pPr>
    </w:p>
    <w:p w:rsidR="00EB5B9E" w:rsidRDefault="00791278" w:rsidP="00EB5B9E">
      <w:pPr>
        <w:jc w:val="center"/>
        <w:rPr>
          <w:rFonts w:cs="Arial"/>
          <w:b/>
          <w:sz w:val="24"/>
          <w:szCs w:val="24"/>
        </w:rPr>
      </w:pPr>
      <w:r w:rsidRPr="0013761C">
        <w:rPr>
          <w:rFonts w:cs="Arial"/>
          <w:b/>
          <w:sz w:val="24"/>
          <w:szCs w:val="24"/>
        </w:rPr>
        <w:t>Coût de l’heure de travail</w:t>
      </w:r>
      <w:r w:rsidR="002C5F42">
        <w:rPr>
          <w:rFonts w:cs="Arial"/>
          <w:b/>
          <w:sz w:val="24"/>
          <w:szCs w:val="24"/>
        </w:rPr>
        <w:t xml:space="preserve"> dans quelques pays de l’U</w:t>
      </w:r>
      <w:r w:rsidR="00EB5B9E">
        <w:rPr>
          <w:rFonts w:cs="Arial"/>
          <w:b/>
          <w:sz w:val="24"/>
          <w:szCs w:val="24"/>
        </w:rPr>
        <w:t>nion européenne</w:t>
      </w:r>
      <w:r w:rsidRPr="0013761C">
        <w:rPr>
          <w:rFonts w:cs="Arial"/>
          <w:b/>
          <w:sz w:val="24"/>
          <w:szCs w:val="24"/>
        </w:rPr>
        <w:t>,</w:t>
      </w:r>
    </w:p>
    <w:p w:rsidR="00791278" w:rsidRDefault="00791278" w:rsidP="00EB5B9E">
      <w:pPr>
        <w:jc w:val="center"/>
        <w:rPr>
          <w:rFonts w:cs="Arial"/>
          <w:b/>
          <w:sz w:val="24"/>
          <w:szCs w:val="24"/>
        </w:rPr>
      </w:pPr>
      <w:proofErr w:type="gramStart"/>
      <w:r w:rsidRPr="0013761C">
        <w:rPr>
          <w:rFonts w:cs="Arial"/>
          <w:b/>
          <w:sz w:val="24"/>
          <w:szCs w:val="24"/>
        </w:rPr>
        <w:t>en</w:t>
      </w:r>
      <w:proofErr w:type="gramEnd"/>
      <w:r w:rsidRPr="0013761C">
        <w:rPr>
          <w:rFonts w:cs="Arial"/>
          <w:b/>
          <w:sz w:val="24"/>
          <w:szCs w:val="24"/>
        </w:rPr>
        <w:t xml:space="preserve"> euros</w:t>
      </w:r>
      <w:r w:rsidR="002C5F42">
        <w:rPr>
          <w:rFonts w:cs="Arial"/>
          <w:b/>
          <w:sz w:val="24"/>
          <w:szCs w:val="24"/>
        </w:rPr>
        <w:t xml:space="preserve"> dans l’industrie et les services marchand</w:t>
      </w:r>
      <w:r w:rsidRPr="0013761C">
        <w:rPr>
          <w:rFonts w:cs="Arial"/>
          <w:b/>
          <w:sz w:val="24"/>
          <w:szCs w:val="24"/>
        </w:rPr>
        <w:t>s</w:t>
      </w:r>
    </w:p>
    <w:tbl>
      <w:tblPr>
        <w:tblStyle w:val="Grilledutableau"/>
        <w:tblpPr w:leftFromText="141" w:rightFromText="141" w:vertAnchor="text" w:horzAnchor="margin" w:tblpXSpec="center" w:tblpY="133"/>
        <w:tblW w:w="0" w:type="auto"/>
        <w:tblLook w:val="04A0"/>
      </w:tblPr>
      <w:tblGrid>
        <w:gridCol w:w="3227"/>
        <w:gridCol w:w="2693"/>
        <w:gridCol w:w="2823"/>
      </w:tblGrid>
      <w:tr w:rsidR="002C5F42" w:rsidRPr="0057245B" w:rsidTr="00DD1C07">
        <w:tc>
          <w:tcPr>
            <w:tcW w:w="0" w:type="auto"/>
          </w:tcPr>
          <w:p w:rsidR="00DD1C07" w:rsidRPr="0057245B" w:rsidRDefault="00DD1C07" w:rsidP="00DD1C0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D1C07" w:rsidRPr="00C75BFA" w:rsidRDefault="00DD1C07" w:rsidP="005F7E3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75BFA">
              <w:rPr>
                <w:rFonts w:cs="Arial"/>
                <w:b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DD1C07" w:rsidRDefault="00DD1C07" w:rsidP="00DD1C07">
            <w:pPr>
              <w:rPr>
                <w:rFonts w:cs="Arial"/>
                <w:b/>
                <w:sz w:val="24"/>
                <w:szCs w:val="24"/>
              </w:rPr>
            </w:pPr>
            <w:r w:rsidRPr="00C75BFA">
              <w:rPr>
                <w:rFonts w:cs="Arial"/>
                <w:b/>
                <w:sz w:val="24"/>
                <w:szCs w:val="24"/>
              </w:rPr>
              <w:t xml:space="preserve">2017 </w:t>
            </w:r>
            <w:r w:rsidR="002C5F42">
              <w:rPr>
                <w:rFonts w:cs="Arial"/>
                <w:b/>
                <w:sz w:val="24"/>
                <w:szCs w:val="24"/>
              </w:rPr>
              <w:t>(2</w:t>
            </w:r>
            <w:r w:rsidR="002C5F42" w:rsidRPr="002C5F42">
              <w:rPr>
                <w:rFonts w:cs="Arial"/>
                <w:b/>
                <w:sz w:val="24"/>
                <w:szCs w:val="24"/>
                <w:vertAlign w:val="superscript"/>
              </w:rPr>
              <w:t>ème</w:t>
            </w:r>
            <w:r w:rsidR="002C5F42">
              <w:rPr>
                <w:rFonts w:cs="Arial"/>
                <w:b/>
                <w:sz w:val="24"/>
                <w:szCs w:val="24"/>
              </w:rPr>
              <w:t xml:space="preserve"> trim</w:t>
            </w:r>
            <w:r w:rsidR="00F50689">
              <w:rPr>
                <w:rFonts w:cs="Arial"/>
                <w:b/>
                <w:sz w:val="24"/>
                <w:szCs w:val="24"/>
              </w:rPr>
              <w:t>estre</w:t>
            </w:r>
            <w:r w:rsidR="002C5F42">
              <w:rPr>
                <w:rFonts w:cs="Arial"/>
                <w:b/>
                <w:sz w:val="24"/>
                <w:szCs w:val="24"/>
              </w:rPr>
              <w:t>)</w:t>
            </w:r>
          </w:p>
          <w:p w:rsidR="00DD1C07" w:rsidRPr="00C75BFA" w:rsidRDefault="00DD1C07" w:rsidP="00DD1C07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2C5F42" w:rsidRPr="0057245B" w:rsidTr="00F50689">
        <w:tc>
          <w:tcPr>
            <w:tcW w:w="3227" w:type="dxa"/>
          </w:tcPr>
          <w:p w:rsidR="00DD1C07" w:rsidRPr="0057245B" w:rsidRDefault="00DD1C07" w:rsidP="00DD1C07">
            <w:pPr>
              <w:rPr>
                <w:rFonts w:cs="Arial"/>
                <w:sz w:val="24"/>
                <w:szCs w:val="24"/>
              </w:rPr>
            </w:pPr>
            <w:r w:rsidRPr="0057245B">
              <w:rPr>
                <w:rFonts w:cs="Arial"/>
                <w:sz w:val="24"/>
                <w:szCs w:val="24"/>
              </w:rPr>
              <w:t>Allemagne</w:t>
            </w:r>
          </w:p>
        </w:tc>
        <w:tc>
          <w:tcPr>
            <w:tcW w:w="2693" w:type="dxa"/>
          </w:tcPr>
          <w:p w:rsidR="00DD1C07" w:rsidRPr="0057245B" w:rsidRDefault="00DD1C07" w:rsidP="00DD1C07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31,93</w:t>
            </w:r>
          </w:p>
        </w:tc>
        <w:tc>
          <w:tcPr>
            <w:tcW w:w="2823" w:type="dxa"/>
          </w:tcPr>
          <w:p w:rsidR="00DD1C07" w:rsidRPr="0057245B" w:rsidRDefault="00DD1C07" w:rsidP="00DD1C07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35,51</w:t>
            </w:r>
          </w:p>
        </w:tc>
      </w:tr>
      <w:tr w:rsidR="002C5F42" w:rsidRPr="0057245B" w:rsidTr="00F50689">
        <w:tc>
          <w:tcPr>
            <w:tcW w:w="3227" w:type="dxa"/>
          </w:tcPr>
          <w:p w:rsidR="00DD1C07" w:rsidRPr="0057245B" w:rsidRDefault="00DD1C07" w:rsidP="00DD1C07">
            <w:pPr>
              <w:rPr>
                <w:rFonts w:cs="Arial"/>
                <w:sz w:val="24"/>
                <w:szCs w:val="24"/>
              </w:rPr>
            </w:pPr>
            <w:r w:rsidRPr="0057245B">
              <w:rPr>
                <w:rFonts w:cs="Arial"/>
                <w:sz w:val="24"/>
                <w:szCs w:val="24"/>
              </w:rPr>
              <w:t>Autriche</w:t>
            </w:r>
          </w:p>
        </w:tc>
        <w:tc>
          <w:tcPr>
            <w:tcW w:w="2693" w:type="dxa"/>
          </w:tcPr>
          <w:p w:rsidR="00DD1C07" w:rsidRPr="0057245B" w:rsidRDefault="00DD1C07" w:rsidP="00DD1C07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30,74</w:t>
            </w:r>
          </w:p>
        </w:tc>
        <w:tc>
          <w:tcPr>
            <w:tcW w:w="2823" w:type="dxa"/>
          </w:tcPr>
          <w:p w:rsidR="00DD1C07" w:rsidRPr="0057245B" w:rsidRDefault="00DD1C07" w:rsidP="00DD1C07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34,80</w:t>
            </w:r>
          </w:p>
        </w:tc>
      </w:tr>
      <w:tr w:rsidR="002C5F42" w:rsidRPr="0057245B" w:rsidTr="00F50689">
        <w:tc>
          <w:tcPr>
            <w:tcW w:w="3227" w:type="dxa"/>
          </w:tcPr>
          <w:p w:rsidR="00DD1C07" w:rsidRPr="0057245B" w:rsidRDefault="00DD1C07" w:rsidP="00DD1C07">
            <w:pPr>
              <w:rPr>
                <w:rFonts w:cs="Arial"/>
                <w:sz w:val="24"/>
                <w:szCs w:val="24"/>
              </w:rPr>
            </w:pPr>
            <w:r w:rsidRPr="0057245B">
              <w:rPr>
                <w:rFonts w:cs="Arial"/>
                <w:sz w:val="24"/>
                <w:szCs w:val="24"/>
              </w:rPr>
              <w:t>Belgique</w:t>
            </w:r>
          </w:p>
        </w:tc>
        <w:tc>
          <w:tcPr>
            <w:tcW w:w="2693" w:type="dxa"/>
          </w:tcPr>
          <w:p w:rsidR="00DD1C07" w:rsidRPr="0057245B" w:rsidRDefault="00DD1C07" w:rsidP="00DD1C07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40,14</w:t>
            </w:r>
          </w:p>
        </w:tc>
        <w:tc>
          <w:tcPr>
            <w:tcW w:w="2823" w:type="dxa"/>
          </w:tcPr>
          <w:p w:rsidR="00DD1C07" w:rsidRPr="0057245B" w:rsidRDefault="00DD1C07" w:rsidP="00DD1C07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41,71</w:t>
            </w:r>
          </w:p>
        </w:tc>
      </w:tr>
      <w:tr w:rsidR="00F50689" w:rsidRPr="0057245B" w:rsidTr="00F50689">
        <w:tc>
          <w:tcPr>
            <w:tcW w:w="3227" w:type="dxa"/>
          </w:tcPr>
          <w:p w:rsidR="00F50689" w:rsidRPr="0057245B" w:rsidRDefault="00F50689" w:rsidP="00F50689">
            <w:pPr>
              <w:rPr>
                <w:rFonts w:cs="Arial"/>
                <w:sz w:val="24"/>
                <w:szCs w:val="24"/>
              </w:rPr>
            </w:pPr>
            <w:r w:rsidRPr="0057245B">
              <w:rPr>
                <w:rFonts w:cs="Arial"/>
                <w:sz w:val="24"/>
                <w:szCs w:val="24"/>
              </w:rPr>
              <w:t>Danemark</w:t>
            </w:r>
          </w:p>
        </w:tc>
        <w:tc>
          <w:tcPr>
            <w:tcW w:w="2693" w:type="dxa"/>
          </w:tcPr>
          <w:p w:rsidR="00F50689" w:rsidRPr="0057245B" w:rsidRDefault="00F50689" w:rsidP="00F50689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41,55</w:t>
            </w:r>
          </w:p>
        </w:tc>
        <w:tc>
          <w:tcPr>
            <w:tcW w:w="2823" w:type="dxa"/>
          </w:tcPr>
          <w:p w:rsidR="00F50689" w:rsidRPr="0057245B" w:rsidRDefault="00F50689" w:rsidP="00F50689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45,23</w:t>
            </w:r>
          </w:p>
        </w:tc>
      </w:tr>
      <w:tr w:rsidR="00F50689" w:rsidRPr="0057245B" w:rsidTr="00F50689">
        <w:tc>
          <w:tcPr>
            <w:tcW w:w="3227" w:type="dxa"/>
          </w:tcPr>
          <w:p w:rsidR="00F50689" w:rsidRPr="0057245B" w:rsidRDefault="00F50689" w:rsidP="00F50689">
            <w:pPr>
              <w:rPr>
                <w:rFonts w:cs="Arial"/>
                <w:sz w:val="24"/>
                <w:szCs w:val="24"/>
              </w:rPr>
            </w:pPr>
            <w:r w:rsidRPr="0057245B">
              <w:rPr>
                <w:rFonts w:cs="Arial"/>
                <w:sz w:val="24"/>
                <w:szCs w:val="24"/>
              </w:rPr>
              <w:t>Espagne</w:t>
            </w:r>
          </w:p>
        </w:tc>
        <w:tc>
          <w:tcPr>
            <w:tcW w:w="2693" w:type="dxa"/>
          </w:tcPr>
          <w:p w:rsidR="00F50689" w:rsidRPr="0057245B" w:rsidRDefault="00F50689" w:rsidP="00F50689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20,92</w:t>
            </w:r>
          </w:p>
        </w:tc>
        <w:tc>
          <w:tcPr>
            <w:tcW w:w="2823" w:type="dxa"/>
          </w:tcPr>
          <w:p w:rsidR="00F50689" w:rsidRPr="0057245B" w:rsidRDefault="00F50689" w:rsidP="00F50689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21,21</w:t>
            </w:r>
          </w:p>
        </w:tc>
      </w:tr>
      <w:tr w:rsidR="00F50689" w:rsidRPr="0057245B" w:rsidTr="00F50689">
        <w:tc>
          <w:tcPr>
            <w:tcW w:w="3227" w:type="dxa"/>
          </w:tcPr>
          <w:p w:rsidR="00F50689" w:rsidRPr="00091CAE" w:rsidRDefault="00F50689" w:rsidP="00F50689">
            <w:pPr>
              <w:rPr>
                <w:rFonts w:cs="Arial"/>
                <w:sz w:val="24"/>
                <w:szCs w:val="24"/>
              </w:rPr>
            </w:pPr>
            <w:r w:rsidRPr="00091CAE">
              <w:rPr>
                <w:rFonts w:cs="Arial"/>
                <w:sz w:val="24"/>
                <w:szCs w:val="24"/>
              </w:rPr>
              <w:t>Estonie</w:t>
            </w:r>
          </w:p>
        </w:tc>
        <w:tc>
          <w:tcPr>
            <w:tcW w:w="2693" w:type="dxa"/>
          </w:tcPr>
          <w:p w:rsidR="00F50689" w:rsidRDefault="00F50689" w:rsidP="00F50689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8,93</w:t>
            </w:r>
          </w:p>
        </w:tc>
        <w:tc>
          <w:tcPr>
            <w:tcW w:w="2823" w:type="dxa"/>
          </w:tcPr>
          <w:p w:rsidR="00F50689" w:rsidRDefault="00F50689" w:rsidP="00F50689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12,11</w:t>
            </w:r>
          </w:p>
        </w:tc>
      </w:tr>
      <w:tr w:rsidR="00F50689" w:rsidRPr="0057245B" w:rsidTr="00F50689">
        <w:tc>
          <w:tcPr>
            <w:tcW w:w="3227" w:type="dxa"/>
          </w:tcPr>
          <w:p w:rsidR="00F50689" w:rsidRPr="00091CAE" w:rsidRDefault="00F50689" w:rsidP="00F50689">
            <w:pPr>
              <w:rPr>
                <w:rFonts w:cs="Arial"/>
                <w:sz w:val="24"/>
                <w:szCs w:val="24"/>
              </w:rPr>
            </w:pPr>
            <w:r w:rsidRPr="00091CAE">
              <w:rPr>
                <w:rFonts w:cs="Arial"/>
                <w:sz w:val="24"/>
                <w:szCs w:val="24"/>
              </w:rPr>
              <w:t>Finlande</w:t>
            </w:r>
          </w:p>
        </w:tc>
        <w:tc>
          <w:tcPr>
            <w:tcW w:w="2693" w:type="dxa"/>
          </w:tcPr>
          <w:p w:rsidR="00F50689" w:rsidRPr="0057245B" w:rsidRDefault="00F50689" w:rsidP="00F50689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31,93</w:t>
            </w:r>
          </w:p>
        </w:tc>
        <w:tc>
          <w:tcPr>
            <w:tcW w:w="2823" w:type="dxa"/>
          </w:tcPr>
          <w:p w:rsidR="00F50689" w:rsidRPr="0057245B" w:rsidRDefault="00F50689" w:rsidP="00F50689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33,69</w:t>
            </w:r>
          </w:p>
        </w:tc>
      </w:tr>
      <w:tr w:rsidR="00F50689" w:rsidRPr="0057245B" w:rsidTr="00F50689">
        <w:tc>
          <w:tcPr>
            <w:tcW w:w="3227" w:type="dxa"/>
          </w:tcPr>
          <w:p w:rsidR="00F50689" w:rsidRPr="00091CAE" w:rsidRDefault="00F50689" w:rsidP="00F50689">
            <w:pPr>
              <w:rPr>
                <w:rFonts w:cs="Arial"/>
                <w:sz w:val="24"/>
                <w:szCs w:val="24"/>
              </w:rPr>
            </w:pPr>
            <w:r w:rsidRPr="00091CAE">
              <w:rPr>
                <w:rFonts w:cs="Arial"/>
                <w:sz w:val="24"/>
                <w:szCs w:val="24"/>
              </w:rPr>
              <w:t>France</w:t>
            </w:r>
          </w:p>
        </w:tc>
        <w:tc>
          <w:tcPr>
            <w:tcW w:w="2693" w:type="dxa"/>
          </w:tcPr>
          <w:p w:rsidR="00F50689" w:rsidRPr="0057245B" w:rsidRDefault="00F50689" w:rsidP="00F50689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35,20</w:t>
            </w:r>
          </w:p>
        </w:tc>
        <w:tc>
          <w:tcPr>
            <w:tcW w:w="2823" w:type="dxa"/>
          </w:tcPr>
          <w:p w:rsidR="00F50689" w:rsidRPr="0057245B" w:rsidRDefault="00F50689" w:rsidP="00F50689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37,07</w:t>
            </w:r>
          </w:p>
        </w:tc>
      </w:tr>
      <w:tr w:rsidR="00F50689" w:rsidRPr="0057245B" w:rsidTr="00F50689">
        <w:tc>
          <w:tcPr>
            <w:tcW w:w="3227" w:type="dxa"/>
          </w:tcPr>
          <w:p w:rsidR="00F50689" w:rsidRPr="00091CAE" w:rsidRDefault="00F50689" w:rsidP="00F50689">
            <w:pPr>
              <w:rPr>
                <w:rFonts w:cs="Arial"/>
                <w:sz w:val="24"/>
                <w:szCs w:val="24"/>
              </w:rPr>
            </w:pPr>
            <w:r w:rsidRPr="00091CAE">
              <w:rPr>
                <w:rFonts w:cs="Arial"/>
                <w:sz w:val="24"/>
                <w:szCs w:val="24"/>
              </w:rPr>
              <w:t>Italie</w:t>
            </w:r>
          </w:p>
        </w:tc>
        <w:tc>
          <w:tcPr>
            <w:tcW w:w="2693" w:type="dxa"/>
          </w:tcPr>
          <w:p w:rsidR="00F50689" w:rsidRPr="0057245B" w:rsidRDefault="00F50689" w:rsidP="00F50689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26,91</w:t>
            </w:r>
          </w:p>
        </w:tc>
        <w:tc>
          <w:tcPr>
            <w:tcW w:w="2823" w:type="dxa"/>
          </w:tcPr>
          <w:p w:rsidR="00F50689" w:rsidRPr="0057245B" w:rsidRDefault="00F50689" w:rsidP="00F50689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27,64</w:t>
            </w:r>
          </w:p>
        </w:tc>
      </w:tr>
      <w:tr w:rsidR="00F50689" w:rsidRPr="0057245B" w:rsidTr="00F50689">
        <w:tc>
          <w:tcPr>
            <w:tcW w:w="3227" w:type="dxa"/>
          </w:tcPr>
          <w:p w:rsidR="00F50689" w:rsidRPr="00091CAE" w:rsidRDefault="00F50689" w:rsidP="00F50689">
            <w:pPr>
              <w:rPr>
                <w:rFonts w:cs="Arial"/>
                <w:sz w:val="24"/>
                <w:szCs w:val="24"/>
              </w:rPr>
            </w:pPr>
            <w:r w:rsidRPr="00091CAE">
              <w:rPr>
                <w:rFonts w:cs="Arial"/>
                <w:sz w:val="24"/>
                <w:szCs w:val="24"/>
              </w:rPr>
              <w:t>Lettonie</w:t>
            </w:r>
          </w:p>
        </w:tc>
        <w:tc>
          <w:tcPr>
            <w:tcW w:w="2693" w:type="dxa"/>
          </w:tcPr>
          <w:p w:rsidR="00F50689" w:rsidRDefault="00F50689" w:rsidP="00F50689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6,26</w:t>
            </w:r>
          </w:p>
        </w:tc>
        <w:tc>
          <w:tcPr>
            <w:tcW w:w="2823" w:type="dxa"/>
          </w:tcPr>
          <w:p w:rsidR="00F50689" w:rsidRDefault="00F50689" w:rsidP="00F50689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8,54</w:t>
            </w:r>
          </w:p>
        </w:tc>
      </w:tr>
      <w:tr w:rsidR="00F50689" w:rsidRPr="0057245B" w:rsidTr="00F50689">
        <w:tc>
          <w:tcPr>
            <w:tcW w:w="3227" w:type="dxa"/>
          </w:tcPr>
          <w:p w:rsidR="00F50689" w:rsidRPr="00091CAE" w:rsidRDefault="00F50689" w:rsidP="00F50689">
            <w:pPr>
              <w:rPr>
                <w:rFonts w:cs="Arial"/>
                <w:sz w:val="24"/>
                <w:szCs w:val="24"/>
              </w:rPr>
            </w:pPr>
            <w:r w:rsidRPr="00091CAE">
              <w:rPr>
                <w:rFonts w:cs="Arial"/>
                <w:sz w:val="24"/>
                <w:szCs w:val="24"/>
              </w:rPr>
              <w:t>Lituanie</w:t>
            </w:r>
          </w:p>
        </w:tc>
        <w:tc>
          <w:tcPr>
            <w:tcW w:w="2693" w:type="dxa"/>
          </w:tcPr>
          <w:p w:rsidR="00F50689" w:rsidRDefault="00F50689" w:rsidP="00F50689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5,88</w:t>
            </w:r>
          </w:p>
        </w:tc>
        <w:tc>
          <w:tcPr>
            <w:tcW w:w="2823" w:type="dxa"/>
          </w:tcPr>
          <w:p w:rsidR="00F50689" w:rsidRDefault="00F50689" w:rsidP="00F50689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8,17</w:t>
            </w:r>
          </w:p>
        </w:tc>
      </w:tr>
      <w:tr w:rsidR="00F50689" w:rsidRPr="0057245B" w:rsidTr="00F50689">
        <w:tc>
          <w:tcPr>
            <w:tcW w:w="3227" w:type="dxa"/>
          </w:tcPr>
          <w:p w:rsidR="00F50689" w:rsidRPr="00091CAE" w:rsidRDefault="00F50689" w:rsidP="00F50689">
            <w:pPr>
              <w:rPr>
                <w:rFonts w:cs="Arial"/>
                <w:sz w:val="24"/>
                <w:szCs w:val="24"/>
              </w:rPr>
            </w:pPr>
            <w:r w:rsidRPr="00091CAE">
              <w:rPr>
                <w:rFonts w:cs="Arial"/>
                <w:sz w:val="24"/>
                <w:szCs w:val="24"/>
              </w:rPr>
              <w:t>Pays-Bas</w:t>
            </w:r>
          </w:p>
        </w:tc>
        <w:tc>
          <w:tcPr>
            <w:tcW w:w="2693" w:type="dxa"/>
          </w:tcPr>
          <w:p w:rsidR="00F50689" w:rsidRPr="0057245B" w:rsidRDefault="00F50689" w:rsidP="00F50689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32,17</w:t>
            </w:r>
          </w:p>
        </w:tc>
        <w:tc>
          <w:tcPr>
            <w:tcW w:w="2823" w:type="dxa"/>
          </w:tcPr>
          <w:p w:rsidR="00F50689" w:rsidRPr="0057245B" w:rsidRDefault="00F50689" w:rsidP="00F50689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33,88</w:t>
            </w:r>
          </w:p>
        </w:tc>
      </w:tr>
      <w:tr w:rsidR="00F50689" w:rsidRPr="0057245B" w:rsidTr="00F50689">
        <w:tc>
          <w:tcPr>
            <w:tcW w:w="3227" w:type="dxa"/>
          </w:tcPr>
          <w:p w:rsidR="00F50689" w:rsidRPr="00091CAE" w:rsidRDefault="00F50689" w:rsidP="00F50689">
            <w:pPr>
              <w:rPr>
                <w:rFonts w:cs="Arial"/>
                <w:sz w:val="24"/>
                <w:szCs w:val="24"/>
              </w:rPr>
            </w:pPr>
            <w:r w:rsidRPr="00091CAE">
              <w:rPr>
                <w:rFonts w:cs="Arial"/>
                <w:sz w:val="24"/>
                <w:szCs w:val="24"/>
              </w:rPr>
              <w:t>Pologne</w:t>
            </w:r>
          </w:p>
        </w:tc>
        <w:tc>
          <w:tcPr>
            <w:tcW w:w="2693" w:type="dxa"/>
          </w:tcPr>
          <w:p w:rsidR="00F50689" w:rsidRDefault="00F50689" w:rsidP="00F50689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7,62</w:t>
            </w:r>
          </w:p>
        </w:tc>
        <w:tc>
          <w:tcPr>
            <w:tcW w:w="2823" w:type="dxa"/>
          </w:tcPr>
          <w:p w:rsidR="00F50689" w:rsidRDefault="00F50689" w:rsidP="00F50689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9,32</w:t>
            </w:r>
          </w:p>
        </w:tc>
      </w:tr>
      <w:tr w:rsidR="00F50689" w:rsidRPr="0057245B" w:rsidTr="00F50689">
        <w:tc>
          <w:tcPr>
            <w:tcW w:w="3227" w:type="dxa"/>
          </w:tcPr>
          <w:p w:rsidR="00F50689" w:rsidRPr="00091CAE" w:rsidRDefault="00F50689" w:rsidP="00F50689">
            <w:pPr>
              <w:rPr>
                <w:rFonts w:cs="Arial"/>
                <w:sz w:val="24"/>
                <w:szCs w:val="24"/>
              </w:rPr>
            </w:pPr>
            <w:r w:rsidRPr="00091CAE">
              <w:rPr>
                <w:rFonts w:cs="Arial"/>
                <w:sz w:val="24"/>
                <w:szCs w:val="24"/>
              </w:rPr>
              <w:t>Portugal</w:t>
            </w:r>
          </w:p>
        </w:tc>
        <w:tc>
          <w:tcPr>
            <w:tcW w:w="2693" w:type="dxa"/>
          </w:tcPr>
          <w:p w:rsidR="00F50689" w:rsidRDefault="00F50689" w:rsidP="00F50689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12,91</w:t>
            </w:r>
          </w:p>
        </w:tc>
        <w:tc>
          <w:tcPr>
            <w:tcW w:w="2823" w:type="dxa"/>
          </w:tcPr>
          <w:p w:rsidR="00F50689" w:rsidRDefault="00F50689" w:rsidP="00F50689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13,26</w:t>
            </w:r>
          </w:p>
        </w:tc>
      </w:tr>
      <w:tr w:rsidR="00F50689" w:rsidRPr="0057245B" w:rsidTr="00F50689">
        <w:tc>
          <w:tcPr>
            <w:tcW w:w="3227" w:type="dxa"/>
          </w:tcPr>
          <w:p w:rsidR="00F50689" w:rsidRPr="0057245B" w:rsidRDefault="00F50689" w:rsidP="00F50689">
            <w:pPr>
              <w:rPr>
                <w:rFonts w:cs="Arial"/>
                <w:sz w:val="24"/>
                <w:szCs w:val="24"/>
              </w:rPr>
            </w:pPr>
            <w:r w:rsidRPr="0057245B">
              <w:rPr>
                <w:rFonts w:cs="Arial"/>
                <w:sz w:val="24"/>
                <w:szCs w:val="24"/>
              </w:rPr>
              <w:t>République tchèque</w:t>
            </w:r>
          </w:p>
        </w:tc>
        <w:tc>
          <w:tcPr>
            <w:tcW w:w="2693" w:type="dxa"/>
          </w:tcPr>
          <w:p w:rsidR="00F50689" w:rsidRPr="0057245B" w:rsidRDefault="00F50689" w:rsidP="00F50689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10,15</w:t>
            </w:r>
          </w:p>
        </w:tc>
        <w:tc>
          <w:tcPr>
            <w:tcW w:w="2823" w:type="dxa"/>
          </w:tcPr>
          <w:p w:rsidR="00F50689" w:rsidRPr="0057245B" w:rsidRDefault="00F50689" w:rsidP="00F50689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11,60</w:t>
            </w:r>
          </w:p>
        </w:tc>
      </w:tr>
      <w:tr w:rsidR="00F50689" w:rsidRPr="0057245B" w:rsidTr="00F50689">
        <w:tc>
          <w:tcPr>
            <w:tcW w:w="3227" w:type="dxa"/>
          </w:tcPr>
          <w:p w:rsidR="00F50689" w:rsidRPr="0057245B" w:rsidRDefault="00F50689" w:rsidP="00F50689">
            <w:pPr>
              <w:rPr>
                <w:rFonts w:cs="Arial"/>
                <w:sz w:val="24"/>
                <w:szCs w:val="24"/>
              </w:rPr>
            </w:pPr>
            <w:r w:rsidRPr="0057245B">
              <w:rPr>
                <w:rFonts w:cs="Arial"/>
                <w:sz w:val="24"/>
                <w:szCs w:val="24"/>
              </w:rPr>
              <w:t>Royaume-Uni</w:t>
            </w:r>
          </w:p>
        </w:tc>
        <w:tc>
          <w:tcPr>
            <w:tcW w:w="2693" w:type="dxa"/>
          </w:tcPr>
          <w:p w:rsidR="00F50689" w:rsidRPr="0057245B" w:rsidRDefault="00F50689" w:rsidP="00F50689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24,49</w:t>
            </w:r>
          </w:p>
        </w:tc>
        <w:tc>
          <w:tcPr>
            <w:tcW w:w="2823" w:type="dxa"/>
          </w:tcPr>
          <w:p w:rsidR="00F50689" w:rsidRPr="0057245B" w:rsidRDefault="00F50689" w:rsidP="00F50689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25,59</w:t>
            </w:r>
          </w:p>
        </w:tc>
      </w:tr>
      <w:tr w:rsidR="00F50689" w:rsidRPr="0057245B" w:rsidTr="00F50689">
        <w:tc>
          <w:tcPr>
            <w:tcW w:w="3227" w:type="dxa"/>
          </w:tcPr>
          <w:p w:rsidR="00F50689" w:rsidRPr="0057245B" w:rsidRDefault="00F50689" w:rsidP="00F50689">
            <w:pPr>
              <w:rPr>
                <w:rFonts w:cs="Arial"/>
                <w:sz w:val="24"/>
                <w:szCs w:val="24"/>
              </w:rPr>
            </w:pPr>
            <w:r w:rsidRPr="0057245B">
              <w:rPr>
                <w:rFonts w:cs="Arial"/>
                <w:sz w:val="24"/>
                <w:szCs w:val="24"/>
              </w:rPr>
              <w:t>Slovaquie</w:t>
            </w:r>
          </w:p>
        </w:tc>
        <w:tc>
          <w:tcPr>
            <w:tcW w:w="2693" w:type="dxa"/>
          </w:tcPr>
          <w:p w:rsidR="00F50689" w:rsidRPr="0057245B" w:rsidRDefault="00F50689" w:rsidP="00F50689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9,25</w:t>
            </w:r>
          </w:p>
        </w:tc>
        <w:tc>
          <w:tcPr>
            <w:tcW w:w="2823" w:type="dxa"/>
          </w:tcPr>
          <w:p w:rsidR="00F50689" w:rsidRPr="0057245B" w:rsidRDefault="00F50689" w:rsidP="00F50689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11,17</w:t>
            </w:r>
          </w:p>
        </w:tc>
      </w:tr>
      <w:tr w:rsidR="00F50689" w:rsidRPr="0057245B" w:rsidTr="00F50689">
        <w:tc>
          <w:tcPr>
            <w:tcW w:w="3227" w:type="dxa"/>
          </w:tcPr>
          <w:p w:rsidR="00F50689" w:rsidRPr="0057245B" w:rsidRDefault="00F50689" w:rsidP="00F50689">
            <w:pPr>
              <w:rPr>
                <w:rFonts w:cs="Arial"/>
                <w:sz w:val="24"/>
                <w:szCs w:val="24"/>
              </w:rPr>
            </w:pPr>
            <w:r w:rsidRPr="0057245B">
              <w:rPr>
                <w:rFonts w:cs="Arial"/>
                <w:sz w:val="24"/>
                <w:szCs w:val="24"/>
              </w:rPr>
              <w:t>Slovénie</w:t>
            </w:r>
          </w:p>
        </w:tc>
        <w:tc>
          <w:tcPr>
            <w:tcW w:w="2693" w:type="dxa"/>
          </w:tcPr>
          <w:p w:rsidR="00F50689" w:rsidRPr="0057245B" w:rsidRDefault="00F50689" w:rsidP="00F50689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15,34</w:t>
            </w:r>
          </w:p>
        </w:tc>
        <w:tc>
          <w:tcPr>
            <w:tcW w:w="2823" w:type="dxa"/>
          </w:tcPr>
          <w:p w:rsidR="00F50689" w:rsidRPr="0057245B" w:rsidRDefault="00F50689" w:rsidP="00F50689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16,69</w:t>
            </w:r>
          </w:p>
        </w:tc>
      </w:tr>
      <w:tr w:rsidR="00F50689" w:rsidRPr="0057245B" w:rsidTr="00F50689">
        <w:tc>
          <w:tcPr>
            <w:tcW w:w="3227" w:type="dxa"/>
          </w:tcPr>
          <w:p w:rsidR="00F50689" w:rsidRPr="0057245B" w:rsidRDefault="00F50689" w:rsidP="00F50689">
            <w:pPr>
              <w:rPr>
                <w:rFonts w:cs="Arial"/>
                <w:sz w:val="24"/>
                <w:szCs w:val="24"/>
              </w:rPr>
            </w:pPr>
            <w:r w:rsidRPr="0057245B">
              <w:rPr>
                <w:rFonts w:cs="Arial"/>
                <w:sz w:val="24"/>
                <w:szCs w:val="24"/>
              </w:rPr>
              <w:t>Suède</w:t>
            </w:r>
          </w:p>
        </w:tc>
        <w:tc>
          <w:tcPr>
            <w:tcW w:w="2693" w:type="dxa"/>
          </w:tcPr>
          <w:p w:rsidR="00F50689" w:rsidRPr="0057245B" w:rsidRDefault="00F50689" w:rsidP="00F50689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40,07</w:t>
            </w:r>
          </w:p>
        </w:tc>
        <w:tc>
          <w:tcPr>
            <w:tcW w:w="2823" w:type="dxa"/>
          </w:tcPr>
          <w:p w:rsidR="00F50689" w:rsidRPr="0057245B" w:rsidRDefault="00F50689" w:rsidP="00F50689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40,71</w:t>
            </w:r>
          </w:p>
        </w:tc>
      </w:tr>
    </w:tbl>
    <w:p w:rsidR="007B0CA2" w:rsidRDefault="007B0CA2" w:rsidP="00791278">
      <w:pPr>
        <w:rPr>
          <w:rFonts w:cs="Arial"/>
          <w:b/>
          <w:sz w:val="24"/>
          <w:szCs w:val="24"/>
        </w:rPr>
      </w:pPr>
    </w:p>
    <w:p w:rsidR="00F50689" w:rsidRPr="00091CAE" w:rsidRDefault="00091CAE" w:rsidP="00791278">
      <w:pPr>
        <w:rPr>
          <w:rFonts w:cs="Arial"/>
          <w:sz w:val="22"/>
          <w:szCs w:val="22"/>
        </w:rPr>
      </w:pPr>
      <w:r w:rsidRPr="00091CAE">
        <w:rPr>
          <w:rFonts w:cs="Arial"/>
          <w:sz w:val="22"/>
          <w:szCs w:val="22"/>
        </w:rPr>
        <w:t>C</w:t>
      </w:r>
      <w:r w:rsidR="00F50689" w:rsidRPr="00091CAE">
        <w:rPr>
          <w:rFonts w:cs="Arial"/>
          <w:sz w:val="22"/>
          <w:szCs w:val="22"/>
        </w:rPr>
        <w:t>hamp : entreprises de 10 salariés et plus.</w:t>
      </w:r>
    </w:p>
    <w:p w:rsidR="00F50689" w:rsidRPr="00091CAE" w:rsidRDefault="00F50689" w:rsidP="00EB5B9E">
      <w:pPr>
        <w:jc w:val="right"/>
        <w:rPr>
          <w:rFonts w:cs="Arial"/>
          <w:sz w:val="22"/>
          <w:szCs w:val="22"/>
        </w:rPr>
      </w:pPr>
      <w:r w:rsidRPr="00091CAE">
        <w:rPr>
          <w:rFonts w:cs="Arial"/>
          <w:sz w:val="22"/>
          <w:szCs w:val="22"/>
        </w:rPr>
        <w:t>Source : d’après Eurostat, 2017</w:t>
      </w:r>
    </w:p>
    <w:p w:rsidR="00F50689" w:rsidRPr="00490225" w:rsidRDefault="00F50689" w:rsidP="00791278">
      <w:pPr>
        <w:rPr>
          <w:rFonts w:cs="Arial"/>
        </w:rPr>
      </w:pPr>
    </w:p>
    <w:p w:rsidR="00DD1C07" w:rsidRDefault="00DD1C0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A7120C" w:rsidRDefault="00A7120C" w:rsidP="00A7120C">
      <w:pPr>
        <w:rPr>
          <w:b/>
          <w:bCs/>
          <w:sz w:val="24"/>
          <w:szCs w:val="24"/>
        </w:rPr>
      </w:pPr>
      <w:r w:rsidRPr="00E41F68">
        <w:rPr>
          <w:b/>
          <w:bCs/>
          <w:sz w:val="24"/>
          <w:szCs w:val="24"/>
        </w:rPr>
        <w:lastRenderedPageBreak/>
        <w:t>DOCUMENT 2</w:t>
      </w:r>
    </w:p>
    <w:p w:rsidR="00A7120C" w:rsidRDefault="00A7120C" w:rsidP="00A7120C">
      <w:pPr>
        <w:rPr>
          <w:b/>
          <w:bCs/>
          <w:sz w:val="24"/>
          <w:szCs w:val="24"/>
        </w:rPr>
      </w:pPr>
    </w:p>
    <w:p w:rsidR="00A75818" w:rsidRDefault="00A75818" w:rsidP="00A75818">
      <w:pPr>
        <w:rPr>
          <w:b/>
          <w:sz w:val="24"/>
          <w:szCs w:val="24"/>
        </w:rPr>
      </w:pPr>
      <w:r w:rsidRPr="00F50689">
        <w:rPr>
          <w:b/>
          <w:sz w:val="24"/>
          <w:szCs w:val="24"/>
        </w:rPr>
        <w:t xml:space="preserve">Nombre de robots pour 10 000 salariés de l’industrie en 2015. </w:t>
      </w:r>
    </w:p>
    <w:p w:rsidR="00EB5B9E" w:rsidRPr="00F50689" w:rsidRDefault="00EB5B9E" w:rsidP="00A75818">
      <w:pPr>
        <w:rPr>
          <w:b/>
          <w:sz w:val="24"/>
          <w:szCs w:val="24"/>
        </w:rPr>
      </w:pPr>
    </w:p>
    <w:p w:rsidR="00CE14F0" w:rsidRDefault="00A75818" w:rsidP="00A7120C">
      <w:pPr>
        <w:rPr>
          <w:b/>
          <w:bCs/>
          <w:sz w:val="24"/>
          <w:szCs w:val="24"/>
        </w:rPr>
      </w:pPr>
      <w:r w:rsidRPr="00A75818">
        <w:rPr>
          <w:b/>
          <w:bCs/>
          <w:noProof/>
          <w:sz w:val="24"/>
          <w:szCs w:val="24"/>
        </w:rPr>
        <w:drawing>
          <wp:inline distT="0" distB="0" distL="0" distR="0">
            <wp:extent cx="4750460" cy="2750515"/>
            <wp:effectExtent l="19050" t="0" r="12040" b="0"/>
            <wp:docPr id="18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75818" w:rsidRPr="00091CAE" w:rsidRDefault="00A75818" w:rsidP="00EB5B9E">
      <w:pPr>
        <w:jc w:val="right"/>
        <w:rPr>
          <w:sz w:val="22"/>
          <w:szCs w:val="22"/>
          <w:lang w:val="en-US"/>
        </w:rPr>
      </w:pPr>
      <w:proofErr w:type="gramStart"/>
      <w:r w:rsidRPr="00091CAE">
        <w:rPr>
          <w:bCs/>
          <w:sz w:val="22"/>
          <w:szCs w:val="22"/>
          <w:lang w:val="en-US"/>
        </w:rPr>
        <w:t>Source :</w:t>
      </w:r>
      <w:proofErr w:type="gramEnd"/>
      <w:r w:rsidRPr="00091CAE">
        <w:rPr>
          <w:bCs/>
          <w:sz w:val="22"/>
          <w:szCs w:val="22"/>
          <w:lang w:val="en-US"/>
        </w:rPr>
        <w:t xml:space="preserve"> </w:t>
      </w:r>
      <w:proofErr w:type="spellStart"/>
      <w:r w:rsidRPr="00091CAE">
        <w:rPr>
          <w:bCs/>
          <w:sz w:val="22"/>
          <w:szCs w:val="22"/>
          <w:lang w:val="en-US"/>
        </w:rPr>
        <w:t>d’après</w:t>
      </w:r>
      <w:proofErr w:type="spellEnd"/>
      <w:r w:rsidRPr="00091CAE">
        <w:rPr>
          <w:bCs/>
          <w:sz w:val="22"/>
          <w:szCs w:val="22"/>
          <w:lang w:val="en-US"/>
        </w:rPr>
        <w:t xml:space="preserve"> </w:t>
      </w:r>
      <w:r w:rsidRPr="00091CAE">
        <w:rPr>
          <w:sz w:val="22"/>
          <w:szCs w:val="22"/>
          <w:lang w:val="en-US"/>
        </w:rPr>
        <w:t>IFR (International Federation of Robotics)</w:t>
      </w:r>
    </w:p>
    <w:p w:rsidR="00AA1DE6" w:rsidRPr="002C5F42" w:rsidRDefault="00AA1DE6" w:rsidP="00A7120C">
      <w:pPr>
        <w:rPr>
          <w:b/>
          <w:bCs/>
          <w:sz w:val="24"/>
          <w:szCs w:val="24"/>
          <w:lang w:val="en-US"/>
        </w:rPr>
      </w:pPr>
    </w:p>
    <w:p w:rsidR="005F7E35" w:rsidRDefault="005F7E35" w:rsidP="00A7120C">
      <w:pPr>
        <w:rPr>
          <w:b/>
          <w:bCs/>
          <w:sz w:val="24"/>
          <w:szCs w:val="24"/>
        </w:rPr>
      </w:pPr>
    </w:p>
    <w:p w:rsidR="005F7E35" w:rsidRDefault="005F7E35" w:rsidP="00A7120C">
      <w:pPr>
        <w:rPr>
          <w:b/>
          <w:bCs/>
          <w:sz w:val="24"/>
          <w:szCs w:val="24"/>
        </w:rPr>
      </w:pPr>
    </w:p>
    <w:p w:rsidR="00A7120C" w:rsidRDefault="00A7120C" w:rsidP="00A7120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DOCUMENT 3</w:t>
      </w:r>
    </w:p>
    <w:p w:rsidR="0068468E" w:rsidRDefault="0068468E" w:rsidP="00A7120C">
      <w:pPr>
        <w:rPr>
          <w:b/>
          <w:bCs/>
          <w:sz w:val="24"/>
          <w:szCs w:val="24"/>
        </w:rPr>
      </w:pPr>
    </w:p>
    <w:p w:rsidR="0068468E" w:rsidRDefault="0068468E" w:rsidP="00A7120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Productivité horaire du travail</w:t>
      </w:r>
      <w:r w:rsidR="00921792">
        <w:rPr>
          <w:b/>
          <w:bCs/>
          <w:sz w:val="24"/>
          <w:szCs w:val="24"/>
        </w:rPr>
        <w:t xml:space="preserve"> </w:t>
      </w:r>
      <w:r w:rsidR="00702662">
        <w:rPr>
          <w:b/>
          <w:bCs/>
          <w:sz w:val="24"/>
          <w:szCs w:val="24"/>
        </w:rPr>
        <w:t>en 2015</w:t>
      </w:r>
      <w:r w:rsidR="00921792">
        <w:rPr>
          <w:b/>
          <w:bCs/>
          <w:sz w:val="24"/>
          <w:szCs w:val="24"/>
        </w:rPr>
        <w:t xml:space="preserve"> en dollars américains</w:t>
      </w:r>
      <w:r>
        <w:rPr>
          <w:b/>
          <w:bCs/>
          <w:sz w:val="24"/>
          <w:szCs w:val="24"/>
        </w:rPr>
        <w:t>.</w:t>
      </w:r>
    </w:p>
    <w:p w:rsidR="00C36BC5" w:rsidRPr="00557307" w:rsidRDefault="0068468E" w:rsidP="00C36BC5">
      <w:pPr>
        <w:rPr>
          <w:b/>
        </w:rPr>
      </w:pPr>
      <w:r w:rsidRPr="0068468E">
        <w:rPr>
          <w:b/>
          <w:noProof/>
          <w:color w:val="FF0000"/>
        </w:rPr>
        <w:drawing>
          <wp:inline distT="0" distB="0" distL="0" distR="0">
            <wp:extent cx="5756910" cy="3087775"/>
            <wp:effectExtent l="19050" t="0" r="15240" b="0"/>
            <wp:docPr id="3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57307" w:rsidRPr="00091CAE" w:rsidRDefault="00557307" w:rsidP="00EB5B9E">
      <w:pPr>
        <w:jc w:val="right"/>
        <w:rPr>
          <w:sz w:val="22"/>
          <w:szCs w:val="22"/>
        </w:rPr>
      </w:pPr>
      <w:r w:rsidRPr="00091CAE">
        <w:rPr>
          <w:sz w:val="22"/>
          <w:szCs w:val="22"/>
        </w:rPr>
        <w:t>Source : OCDE</w:t>
      </w:r>
      <w:r w:rsidR="00921792" w:rsidRPr="00091CAE">
        <w:rPr>
          <w:sz w:val="22"/>
          <w:szCs w:val="22"/>
        </w:rPr>
        <w:t>, 2017</w:t>
      </w:r>
    </w:p>
    <w:p w:rsidR="00557307" w:rsidRDefault="00557307" w:rsidP="00C36BC5">
      <w:pPr>
        <w:rPr>
          <w:sz w:val="22"/>
          <w:szCs w:val="22"/>
        </w:rPr>
      </w:pPr>
    </w:p>
    <w:p w:rsidR="00557307" w:rsidRPr="00557307" w:rsidRDefault="00557307" w:rsidP="00C36BC5">
      <w:pPr>
        <w:rPr>
          <w:color w:val="FF0000"/>
          <w:sz w:val="22"/>
          <w:szCs w:val="22"/>
        </w:rPr>
      </w:pPr>
    </w:p>
    <w:p w:rsidR="00C36BC5" w:rsidRDefault="00C36BC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A7120C" w:rsidRDefault="00A7120C" w:rsidP="00A7120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DOCUMENT 4</w:t>
      </w:r>
    </w:p>
    <w:p w:rsidR="006F0C39" w:rsidRDefault="006F0C39" w:rsidP="00A7120C">
      <w:pPr>
        <w:rPr>
          <w:bCs/>
          <w:sz w:val="24"/>
          <w:szCs w:val="24"/>
        </w:rPr>
      </w:pPr>
    </w:p>
    <w:p w:rsidR="006F3832" w:rsidRPr="006F0C39" w:rsidRDefault="006F0C39" w:rsidP="00EB5B9E">
      <w:pPr>
        <w:jc w:val="center"/>
        <w:rPr>
          <w:bCs/>
          <w:sz w:val="24"/>
          <w:szCs w:val="24"/>
          <w:vertAlign w:val="superscript"/>
        </w:rPr>
      </w:pPr>
      <w:r>
        <w:rPr>
          <w:bCs/>
          <w:sz w:val="24"/>
          <w:szCs w:val="24"/>
        </w:rPr>
        <w:t xml:space="preserve">Prix et coûts en fonction des quantités d’arbres produits </w:t>
      </w:r>
      <w:r>
        <w:rPr>
          <w:bCs/>
          <w:sz w:val="24"/>
          <w:szCs w:val="24"/>
          <w:vertAlign w:val="superscript"/>
        </w:rPr>
        <w:t>1</w:t>
      </w:r>
    </w:p>
    <w:p w:rsidR="004672AF" w:rsidRPr="004672AF" w:rsidRDefault="001178E7" w:rsidP="00A7120C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92.8pt;margin-top:80.7pt;width:9.25pt;height:16.75pt;z-index:251662336;mso-width-relative:margin;mso-height-relative:margin" filled="f" stroked="f">
            <v:textbox>
              <w:txbxContent>
                <w:p w:rsidR="006F0C39" w:rsidRPr="006F0C39" w:rsidRDefault="006F0C39" w:rsidP="006F0C39">
                  <w:pPr>
                    <w:rPr>
                      <w:sz w:val="24"/>
                      <w:szCs w:val="24"/>
                      <w:vertAlign w:val="superscript"/>
                    </w:rPr>
                  </w:pPr>
                  <w:r>
                    <w:rPr>
                      <w:sz w:val="24"/>
                      <w:szCs w:val="24"/>
                      <w:vertAlign w:val="superscript"/>
                    </w:rPr>
                    <w:t>4</w:t>
                  </w:r>
                </w:p>
              </w:txbxContent>
            </v:textbox>
          </v:shape>
        </w:pict>
      </w:r>
      <w:r>
        <w:rPr>
          <w:bCs/>
          <w:noProof/>
          <w:sz w:val="24"/>
          <w:szCs w:val="24"/>
        </w:rPr>
        <w:pict>
          <v:shape id="_x0000_s1027" type="#_x0000_t202" style="position:absolute;margin-left:371pt;margin-top:80.7pt;width:9.25pt;height:16.75pt;z-index:251661312;mso-width-relative:margin;mso-height-relative:margin" filled="f" stroked="f">
            <v:textbox>
              <w:txbxContent>
                <w:p w:rsidR="006F0C39" w:rsidRPr="006F0C39" w:rsidRDefault="006F0C39" w:rsidP="006F0C39">
                  <w:pPr>
                    <w:rPr>
                      <w:sz w:val="24"/>
                      <w:szCs w:val="24"/>
                      <w:vertAlign w:val="superscript"/>
                    </w:rPr>
                  </w:pPr>
                  <w:r>
                    <w:rPr>
                      <w:sz w:val="24"/>
                      <w:szCs w:val="24"/>
                      <w:vertAlign w:val="superscript"/>
                    </w:rPr>
                    <w:t>3</w:t>
                  </w:r>
                </w:p>
              </w:txbxContent>
            </v:textbox>
          </v:shape>
        </w:pict>
      </w:r>
      <w:r>
        <w:rPr>
          <w:bCs/>
          <w:noProof/>
          <w:sz w:val="24"/>
          <w:szCs w:val="24"/>
          <w:lang w:eastAsia="en-US"/>
        </w:rPr>
        <w:pict>
          <v:shape id="_x0000_s1026" type="#_x0000_t202" style="position:absolute;margin-left:361.75pt;margin-top:38.1pt;width:9.25pt;height:16.75pt;z-index:251660288;mso-width-relative:margin;mso-height-relative:margin" filled="f" stroked="f">
            <v:textbox>
              <w:txbxContent>
                <w:p w:rsidR="006F0C39" w:rsidRPr="006F0C39" w:rsidRDefault="006F0C39">
                  <w:pPr>
                    <w:rPr>
                      <w:sz w:val="24"/>
                      <w:szCs w:val="24"/>
                      <w:vertAlign w:val="superscript"/>
                    </w:rPr>
                  </w:pPr>
                  <w:r w:rsidRPr="006F0C39">
                    <w:rPr>
                      <w:sz w:val="24"/>
                      <w:szCs w:val="24"/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  <w:r w:rsidR="004672AF">
        <w:rPr>
          <w:bCs/>
          <w:noProof/>
          <w:sz w:val="24"/>
          <w:szCs w:val="24"/>
        </w:rPr>
        <w:drawing>
          <wp:inline distT="0" distB="0" distL="0" distR="0">
            <wp:extent cx="5294000" cy="3270100"/>
            <wp:effectExtent l="95250" t="133350" r="78100" b="1017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4223" t="18634" r="23484" b="9110"/>
                    <a:stretch>
                      <a:fillRect/>
                    </a:stretch>
                  </pic:blipFill>
                  <pic:spPr bwMode="auto">
                    <a:xfrm rot="21441352">
                      <a:off x="0" y="0"/>
                      <a:ext cx="5301618" cy="3274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2AF" w:rsidRPr="00091CAE" w:rsidRDefault="004672AF" w:rsidP="00A7120C">
      <w:pPr>
        <w:rPr>
          <w:b/>
          <w:bCs/>
          <w:sz w:val="22"/>
          <w:szCs w:val="22"/>
        </w:rPr>
      </w:pPr>
    </w:p>
    <w:p w:rsidR="004672AF" w:rsidRPr="00091CAE" w:rsidRDefault="00EB5B9E" w:rsidP="00A7120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 : N</w:t>
      </w:r>
      <w:r w:rsidR="00921792" w:rsidRPr="00091CAE">
        <w:rPr>
          <w:bCs/>
          <w:sz w:val="22"/>
          <w:szCs w:val="22"/>
        </w:rPr>
        <w:t>oëlle gère une ferme d’arbres de Noël. Supposez que le prix de marché soit de 18</w:t>
      </w:r>
      <w:r w:rsidR="006F0C39" w:rsidRPr="00091CAE">
        <w:rPr>
          <w:bCs/>
          <w:sz w:val="22"/>
          <w:szCs w:val="22"/>
        </w:rPr>
        <w:t xml:space="preserve"> euros</w:t>
      </w:r>
      <w:r w:rsidR="00921792" w:rsidRPr="00091CAE">
        <w:rPr>
          <w:bCs/>
          <w:sz w:val="22"/>
          <w:szCs w:val="22"/>
        </w:rPr>
        <w:t xml:space="preserve"> par arbre et que Noëlle prenne le prix comme une donnée, elle peut vendre autant qu’elle le souhaite à ce prix. </w:t>
      </w:r>
    </w:p>
    <w:p w:rsidR="006F0C39" w:rsidRPr="00091CAE" w:rsidRDefault="00EB5B9E" w:rsidP="00A7120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2: C</w:t>
      </w:r>
      <w:r w:rsidR="006F0C39" w:rsidRPr="00091CAE">
        <w:rPr>
          <w:bCs/>
          <w:sz w:val="22"/>
          <w:szCs w:val="22"/>
        </w:rPr>
        <w:t>oût marginal</w:t>
      </w:r>
    </w:p>
    <w:p w:rsidR="006F0C39" w:rsidRPr="00091CAE" w:rsidRDefault="00EB5B9E" w:rsidP="00A7120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3: </w:t>
      </w:r>
      <w:r w:rsidR="006F0C39" w:rsidRPr="00091CAE">
        <w:rPr>
          <w:bCs/>
          <w:sz w:val="22"/>
          <w:szCs w:val="22"/>
        </w:rPr>
        <w:t>Recette marginale</w:t>
      </w:r>
    </w:p>
    <w:p w:rsidR="00111140" w:rsidRPr="00091CAE" w:rsidRDefault="00EB5B9E" w:rsidP="00A7120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4: </w:t>
      </w:r>
      <w:r w:rsidR="00111140" w:rsidRPr="00091CAE">
        <w:rPr>
          <w:bCs/>
          <w:sz w:val="22"/>
          <w:szCs w:val="22"/>
        </w:rPr>
        <w:t>Prix</w:t>
      </w:r>
    </w:p>
    <w:p w:rsidR="006F0C39" w:rsidRPr="00091CAE" w:rsidRDefault="006F0C39" w:rsidP="00A7120C">
      <w:pPr>
        <w:rPr>
          <w:bCs/>
          <w:sz w:val="22"/>
          <w:szCs w:val="22"/>
        </w:rPr>
      </w:pPr>
    </w:p>
    <w:p w:rsidR="00A7120C" w:rsidRPr="00091CAE" w:rsidRDefault="00111140" w:rsidP="009D61A8">
      <w:pPr>
        <w:jc w:val="right"/>
        <w:rPr>
          <w:rFonts w:cs="Arial"/>
          <w:b/>
          <w:bCs/>
          <w:color w:val="000000"/>
          <w:sz w:val="22"/>
          <w:szCs w:val="22"/>
        </w:rPr>
      </w:pPr>
      <w:r w:rsidRPr="00091CAE">
        <w:rPr>
          <w:bCs/>
          <w:sz w:val="22"/>
          <w:szCs w:val="22"/>
        </w:rPr>
        <w:t>Source : d’après Paul KRUGMAN, Microéconomie, 2016</w:t>
      </w:r>
    </w:p>
    <w:sectPr w:rsidR="00A7120C" w:rsidRPr="00091CAE" w:rsidSect="0082082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66BE"/>
    <w:multiLevelType w:val="hybridMultilevel"/>
    <w:tmpl w:val="46EC23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D7B99"/>
    <w:multiLevelType w:val="hybridMultilevel"/>
    <w:tmpl w:val="82987108"/>
    <w:lvl w:ilvl="0" w:tplc="F1F4C2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327736"/>
    <w:multiLevelType w:val="hybridMultilevel"/>
    <w:tmpl w:val="46EC23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05B90"/>
    <w:multiLevelType w:val="multilevel"/>
    <w:tmpl w:val="CCF69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A7120C"/>
    <w:rsid w:val="00002F9D"/>
    <w:rsid w:val="0008748A"/>
    <w:rsid w:val="00091CAE"/>
    <w:rsid w:val="000A3D41"/>
    <w:rsid w:val="00111140"/>
    <w:rsid w:val="001178E7"/>
    <w:rsid w:val="001C2A85"/>
    <w:rsid w:val="001E4E88"/>
    <w:rsid w:val="00212394"/>
    <w:rsid w:val="002C5F42"/>
    <w:rsid w:val="0045485D"/>
    <w:rsid w:val="00463702"/>
    <w:rsid w:val="004672AF"/>
    <w:rsid w:val="00490225"/>
    <w:rsid w:val="004D5578"/>
    <w:rsid w:val="004E3E35"/>
    <w:rsid w:val="00500936"/>
    <w:rsid w:val="00557307"/>
    <w:rsid w:val="00580EA9"/>
    <w:rsid w:val="005F7E35"/>
    <w:rsid w:val="0065793A"/>
    <w:rsid w:val="0068468E"/>
    <w:rsid w:val="006C513E"/>
    <w:rsid w:val="006E6801"/>
    <w:rsid w:val="006F0C39"/>
    <w:rsid w:val="006F3832"/>
    <w:rsid w:val="00702662"/>
    <w:rsid w:val="00791278"/>
    <w:rsid w:val="007945A5"/>
    <w:rsid w:val="007B0CA2"/>
    <w:rsid w:val="007B430D"/>
    <w:rsid w:val="007C7F8A"/>
    <w:rsid w:val="0082082F"/>
    <w:rsid w:val="008B1C30"/>
    <w:rsid w:val="008E0E3B"/>
    <w:rsid w:val="008E5C26"/>
    <w:rsid w:val="00921792"/>
    <w:rsid w:val="00957581"/>
    <w:rsid w:val="009B6FE6"/>
    <w:rsid w:val="009D61A8"/>
    <w:rsid w:val="009E68CD"/>
    <w:rsid w:val="00A21D1D"/>
    <w:rsid w:val="00A23DF2"/>
    <w:rsid w:val="00A33741"/>
    <w:rsid w:val="00A625B5"/>
    <w:rsid w:val="00A7120C"/>
    <w:rsid w:val="00A75818"/>
    <w:rsid w:val="00AA1DE6"/>
    <w:rsid w:val="00B32AC2"/>
    <w:rsid w:val="00B66E38"/>
    <w:rsid w:val="00B76D31"/>
    <w:rsid w:val="00BC5B9B"/>
    <w:rsid w:val="00BD0CDB"/>
    <w:rsid w:val="00C01B85"/>
    <w:rsid w:val="00C36BC5"/>
    <w:rsid w:val="00C41D5B"/>
    <w:rsid w:val="00C804EB"/>
    <w:rsid w:val="00CC4702"/>
    <w:rsid w:val="00CE14F0"/>
    <w:rsid w:val="00DD1C07"/>
    <w:rsid w:val="00DF795C"/>
    <w:rsid w:val="00E04974"/>
    <w:rsid w:val="00EB5B9E"/>
    <w:rsid w:val="00F50689"/>
    <w:rsid w:val="00F805AA"/>
    <w:rsid w:val="00FA1995"/>
    <w:rsid w:val="00FF0934"/>
    <w:rsid w:val="00FF6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7120C"/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etitcar">
    <w:name w:val="corpetitcar"/>
    <w:uiPriority w:val="99"/>
    <w:rsid w:val="00A7120C"/>
    <w:rPr>
      <w:rFonts w:cs="Times New Roman"/>
    </w:rPr>
  </w:style>
  <w:style w:type="paragraph" w:customStyle="1" w:styleId="Corps">
    <w:name w:val="Corps"/>
    <w:uiPriority w:val="99"/>
    <w:rsid w:val="00A7120C"/>
    <w:rPr>
      <w:rFonts w:ascii="Helvetica" w:eastAsia="Calibri" w:hAnsi="Helvetica"/>
      <w:color w:val="000000"/>
      <w:sz w:val="24"/>
    </w:rPr>
  </w:style>
  <w:style w:type="table" w:styleId="Grilledutableau">
    <w:name w:val="Table Grid"/>
    <w:basedOn w:val="TableauNormal"/>
    <w:uiPriority w:val="59"/>
    <w:rsid w:val="007912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758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81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B6FE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337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citecrochet1">
    <w:name w:val="cite_crochet1"/>
    <w:basedOn w:val="Policepardfaut"/>
    <w:rsid w:val="00E04974"/>
    <w:rPr>
      <w:vanish/>
      <w:webHidden w:val="0"/>
      <w:specVanish w:val="0"/>
    </w:rPr>
  </w:style>
  <w:style w:type="paragraph" w:styleId="Paragraphedeliste">
    <w:name w:val="List Paragraph"/>
    <w:basedOn w:val="Normal"/>
    <w:uiPriority w:val="72"/>
    <w:qFormat/>
    <w:rsid w:val="00490225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091C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3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enjamin\Google%20Drive\sujets%20premi&#232;re%20type%20bac\PIB%20par%20heure%20travaill&#233;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barChart>
        <c:barDir val="col"/>
        <c:grouping val="clustered"/>
        <c:ser>
          <c:idx val="0"/>
          <c:order val="0"/>
          <c:spPr>
            <a:solidFill>
              <a:schemeClr val="tx1">
                <a:lumMod val="65000"/>
                <a:lumOff val="35000"/>
              </a:schemeClr>
            </a:solidFill>
          </c:spPr>
          <c:cat>
            <c:strRef>
              <c:f>Feuil1!$A$6:$A$21</c:f>
              <c:strCache>
                <c:ptCount val="16"/>
                <c:pt idx="0">
                  <c:v>Japon</c:v>
                </c:pt>
                <c:pt idx="1">
                  <c:v>Allemagne</c:v>
                </c:pt>
                <c:pt idx="2">
                  <c:v>Suède</c:v>
                </c:pt>
                <c:pt idx="3">
                  <c:v>Danemark</c:v>
                </c:pt>
                <c:pt idx="4">
                  <c:v>Etats-Unis</c:v>
                </c:pt>
                <c:pt idx="5">
                  <c:v>Belgique</c:v>
                </c:pt>
                <c:pt idx="6">
                  <c:v>Italie</c:v>
                </c:pt>
                <c:pt idx="7">
                  <c:v>Espagne</c:v>
                </c:pt>
                <c:pt idx="8">
                  <c:v>Autriche</c:v>
                </c:pt>
                <c:pt idx="9">
                  <c:v>France</c:v>
                </c:pt>
                <c:pt idx="10">
                  <c:v>Finlande</c:v>
                </c:pt>
                <c:pt idx="11">
                  <c:v>Pays-Bas</c:v>
                </c:pt>
                <c:pt idx="12">
                  <c:v>Slovénie</c:v>
                </c:pt>
                <c:pt idx="13">
                  <c:v>République tchèque</c:v>
                </c:pt>
                <c:pt idx="14">
                  <c:v>Slovaquie</c:v>
                </c:pt>
                <c:pt idx="15">
                  <c:v>Royaume-Uni</c:v>
                </c:pt>
              </c:strCache>
            </c:strRef>
          </c:cat>
          <c:val>
            <c:numRef>
              <c:f>Feuil1!$B$6:$B$21</c:f>
              <c:numCache>
                <c:formatCode>General</c:formatCode>
                <c:ptCount val="16"/>
                <c:pt idx="0">
                  <c:v>305</c:v>
                </c:pt>
                <c:pt idx="1">
                  <c:v>301</c:v>
                </c:pt>
                <c:pt idx="2">
                  <c:v>212</c:v>
                </c:pt>
                <c:pt idx="3">
                  <c:v>188</c:v>
                </c:pt>
                <c:pt idx="4">
                  <c:v>176</c:v>
                </c:pt>
                <c:pt idx="5">
                  <c:v>169</c:v>
                </c:pt>
                <c:pt idx="6">
                  <c:v>160</c:v>
                </c:pt>
                <c:pt idx="7">
                  <c:v>150</c:v>
                </c:pt>
                <c:pt idx="8">
                  <c:v>128</c:v>
                </c:pt>
                <c:pt idx="9">
                  <c:v>127</c:v>
                </c:pt>
                <c:pt idx="10">
                  <c:v>126</c:v>
                </c:pt>
                <c:pt idx="11">
                  <c:v>120</c:v>
                </c:pt>
                <c:pt idx="12">
                  <c:v>110</c:v>
                </c:pt>
                <c:pt idx="13">
                  <c:v>93</c:v>
                </c:pt>
                <c:pt idx="14">
                  <c:v>79</c:v>
                </c:pt>
                <c:pt idx="15">
                  <c:v>71</c:v>
                </c:pt>
              </c:numCache>
            </c:numRef>
          </c:val>
        </c:ser>
        <c:axId val="159625984"/>
        <c:axId val="159628288"/>
      </c:barChart>
      <c:catAx>
        <c:axId val="159625984"/>
        <c:scaling>
          <c:orientation val="minMax"/>
        </c:scaling>
        <c:axPos val="b"/>
        <c:tickLblPos val="nextTo"/>
        <c:crossAx val="159628288"/>
        <c:crosses val="autoZero"/>
        <c:auto val="1"/>
        <c:lblAlgn val="ctr"/>
        <c:lblOffset val="100"/>
      </c:catAx>
      <c:valAx>
        <c:axId val="159628288"/>
        <c:scaling>
          <c:orientation val="minMax"/>
        </c:scaling>
        <c:axPos val="l"/>
        <c:majorGridlines/>
        <c:numFmt formatCode="General" sourceLinked="1"/>
        <c:tickLblPos val="nextTo"/>
        <c:crossAx val="159625984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1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Feuil1!$B$46</c:f>
              <c:strCache>
                <c:ptCount val="1"/>
                <c:pt idx="0">
                  <c:v>productivité horaire du travail en $ US</c:v>
                </c:pt>
              </c:strCache>
            </c:strRef>
          </c:tx>
          <c:cat>
            <c:strRef>
              <c:f>Feuil1!$A$47:$A$67</c:f>
              <c:strCache>
                <c:ptCount val="21"/>
                <c:pt idx="0">
                  <c:v>Lettonie</c:v>
                </c:pt>
                <c:pt idx="1">
                  <c:v>Pologne</c:v>
                </c:pt>
                <c:pt idx="2">
                  <c:v>Estonie</c:v>
                </c:pt>
                <c:pt idx="3">
                  <c:v>Lituanie</c:v>
                </c:pt>
                <c:pt idx="4">
                  <c:v>Portugal</c:v>
                </c:pt>
                <c:pt idx="5">
                  <c:v>République tchèque</c:v>
                </c:pt>
                <c:pt idx="6">
                  <c:v>Slovénie</c:v>
                </c:pt>
                <c:pt idx="7">
                  <c:v>Slovaquie</c:v>
                </c:pt>
                <c:pt idx="8">
                  <c:v>Japon</c:v>
                </c:pt>
                <c:pt idx="9">
                  <c:v>Espagne</c:v>
                </c:pt>
                <c:pt idx="10">
                  <c:v>Royaume-Uni</c:v>
                </c:pt>
                <c:pt idx="11">
                  <c:v>Italie</c:v>
                </c:pt>
                <c:pt idx="12">
                  <c:v>Finlande</c:v>
                </c:pt>
                <c:pt idx="13">
                  <c:v>Autriche</c:v>
                </c:pt>
                <c:pt idx="14">
                  <c:v>Suède</c:v>
                </c:pt>
                <c:pt idx="15">
                  <c:v>Allemagne</c:v>
                </c:pt>
                <c:pt idx="16">
                  <c:v>France</c:v>
                </c:pt>
                <c:pt idx="17">
                  <c:v>Pays-Bas</c:v>
                </c:pt>
                <c:pt idx="18">
                  <c:v>États-Unis</c:v>
                </c:pt>
                <c:pt idx="19">
                  <c:v>Danemark</c:v>
                </c:pt>
                <c:pt idx="20">
                  <c:v>Belgique</c:v>
                </c:pt>
              </c:strCache>
            </c:strRef>
          </c:cat>
          <c:val>
            <c:numRef>
              <c:f>Feuil1!$B$47:$B$67</c:f>
              <c:numCache>
                <c:formatCode>General</c:formatCode>
                <c:ptCount val="21"/>
                <c:pt idx="0">
                  <c:v>25.93</c:v>
                </c:pt>
                <c:pt idx="1">
                  <c:v>28.45</c:v>
                </c:pt>
                <c:pt idx="2">
                  <c:v>29.88</c:v>
                </c:pt>
                <c:pt idx="3">
                  <c:v>30.16</c:v>
                </c:pt>
                <c:pt idx="4">
                  <c:v>32.270000000000003</c:v>
                </c:pt>
                <c:pt idx="5">
                  <c:v>34.68</c:v>
                </c:pt>
                <c:pt idx="6">
                  <c:v>36.54</c:v>
                </c:pt>
                <c:pt idx="7">
                  <c:v>38.379999999999995</c:v>
                </c:pt>
                <c:pt idx="8">
                  <c:v>41.379999999999995</c:v>
                </c:pt>
                <c:pt idx="9">
                  <c:v>46.879999999999995</c:v>
                </c:pt>
                <c:pt idx="10">
                  <c:v>47.77</c:v>
                </c:pt>
                <c:pt idx="11">
                  <c:v>47.98</c:v>
                </c:pt>
                <c:pt idx="12">
                  <c:v>50.620000000000012</c:v>
                </c:pt>
                <c:pt idx="13">
                  <c:v>54.13</c:v>
                </c:pt>
                <c:pt idx="14">
                  <c:v>56.11</c:v>
                </c:pt>
                <c:pt idx="15">
                  <c:v>59.18</c:v>
                </c:pt>
                <c:pt idx="16">
                  <c:v>59.37</c:v>
                </c:pt>
                <c:pt idx="17">
                  <c:v>61.52</c:v>
                </c:pt>
                <c:pt idx="18">
                  <c:v>63.14</c:v>
                </c:pt>
                <c:pt idx="19">
                  <c:v>63.36</c:v>
                </c:pt>
                <c:pt idx="20">
                  <c:v>64.39</c:v>
                </c:pt>
              </c:numCache>
            </c:numRef>
          </c:val>
        </c:ser>
        <c:axId val="126925440"/>
        <c:axId val="126931328"/>
      </c:barChart>
      <c:catAx>
        <c:axId val="126925440"/>
        <c:scaling>
          <c:orientation val="minMax"/>
        </c:scaling>
        <c:axPos val="b"/>
        <c:tickLblPos val="nextTo"/>
        <c:crossAx val="126931328"/>
        <c:crosses val="autoZero"/>
        <c:auto val="1"/>
        <c:lblAlgn val="ctr"/>
        <c:lblOffset val="100"/>
      </c:catAx>
      <c:valAx>
        <c:axId val="126931328"/>
        <c:scaling>
          <c:orientation val="minMax"/>
        </c:scaling>
        <c:axPos val="l"/>
        <c:majorGridlines/>
        <c:numFmt formatCode="General" sourceLinked="1"/>
        <c:tickLblPos val="nextTo"/>
        <c:crossAx val="126925440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16D53-DF3C-4AA9-AF55-69CEDD2C2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Pelletier</dc:creator>
  <cp:lastModifiedBy>Benjamin</cp:lastModifiedBy>
  <cp:revision>3</cp:revision>
  <dcterms:created xsi:type="dcterms:W3CDTF">2018-01-02T19:12:00Z</dcterms:created>
  <dcterms:modified xsi:type="dcterms:W3CDTF">2018-01-02T19:20:00Z</dcterms:modified>
</cp:coreProperties>
</file>