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03A" w:rsidRDefault="00FC203A" w:rsidP="00FC203A">
      <w:pPr>
        <w:pStyle w:val="Sansinterligne"/>
        <w:rPr>
          <w:b/>
          <w:sz w:val="24"/>
        </w:rPr>
      </w:pPr>
      <w:r w:rsidRPr="001C2FE8">
        <w:rPr>
          <w:b/>
          <w:iCs/>
          <w:color w:val="000000"/>
          <w:sz w:val="24"/>
        </w:rPr>
        <w:t>Troisième p</w:t>
      </w:r>
      <w:r w:rsidRPr="001C2FE8">
        <w:rPr>
          <w:b/>
          <w:sz w:val="24"/>
        </w:rPr>
        <w:t>artie : Raisonnement s’appuyant sur un dossier documentaire</w:t>
      </w:r>
    </w:p>
    <w:p w:rsidR="00FC203A" w:rsidRPr="001C2FE8" w:rsidRDefault="00FC203A" w:rsidP="00FC203A">
      <w:pPr>
        <w:rPr>
          <w:rFonts w:cs="Arial"/>
          <w:b/>
          <w:sz w:val="24"/>
        </w:rPr>
      </w:pPr>
      <w:r w:rsidRPr="001C2FE8">
        <w:rPr>
          <w:rFonts w:cs="Arial"/>
          <w:b/>
          <w:i/>
          <w:sz w:val="24"/>
        </w:rPr>
        <w:t>(10 points)</w:t>
      </w:r>
    </w:p>
    <w:p w:rsidR="00FC203A" w:rsidRDefault="00FC203A" w:rsidP="00FC203A">
      <w:pPr>
        <w:jc w:val="center"/>
        <w:rPr>
          <w:rFonts w:cs="Arial"/>
          <w:i/>
          <w:sz w:val="24"/>
        </w:rPr>
      </w:pPr>
    </w:p>
    <w:p w:rsidR="00FC203A" w:rsidRPr="00713017" w:rsidRDefault="00FC203A" w:rsidP="00FC203A">
      <w:pPr>
        <w:jc w:val="center"/>
        <w:rPr>
          <w:rFonts w:cs="Arial"/>
          <w:i/>
          <w:sz w:val="24"/>
        </w:rPr>
      </w:pPr>
      <w:r w:rsidRPr="00713017">
        <w:rPr>
          <w:rFonts w:cs="Arial"/>
          <w:i/>
          <w:sz w:val="24"/>
        </w:rPr>
        <w:t xml:space="preserve">Cette partie comporte </w:t>
      </w:r>
      <w:r>
        <w:rPr>
          <w:rFonts w:cs="Arial"/>
          <w:i/>
          <w:sz w:val="24"/>
        </w:rPr>
        <w:t>trois</w:t>
      </w:r>
      <w:r w:rsidRPr="00713017">
        <w:rPr>
          <w:rFonts w:cs="Arial"/>
          <w:i/>
          <w:sz w:val="24"/>
        </w:rPr>
        <w:t xml:space="preserve"> documents</w:t>
      </w:r>
      <w:r>
        <w:rPr>
          <w:rFonts w:cs="Arial"/>
          <w:i/>
          <w:sz w:val="24"/>
        </w:rPr>
        <w:t>.</w:t>
      </w:r>
    </w:p>
    <w:p w:rsidR="00FC203A" w:rsidRPr="00713017" w:rsidRDefault="00FC203A" w:rsidP="00FC203A">
      <w:pPr>
        <w:jc w:val="center"/>
        <w:rPr>
          <w:rFonts w:cs="Arial"/>
          <w:b/>
          <w:i/>
          <w:sz w:val="24"/>
        </w:rPr>
      </w:pPr>
    </w:p>
    <w:p w:rsidR="00FC203A" w:rsidRPr="004A2CF7" w:rsidRDefault="00FC203A" w:rsidP="00FC203A">
      <w:pPr>
        <w:jc w:val="both"/>
        <w:rPr>
          <w:rFonts w:cs="Arial"/>
          <w:b/>
          <w:sz w:val="24"/>
          <w:szCs w:val="24"/>
        </w:rPr>
      </w:pPr>
      <w:r>
        <w:rPr>
          <w:rFonts w:cs="Arial"/>
          <w:b/>
          <w:sz w:val="24"/>
        </w:rPr>
        <w:t>Sujet : À l’aide de vos connaissances et du dossier documentaire,</w:t>
      </w:r>
      <w:r w:rsidR="00583E41">
        <w:rPr>
          <w:rFonts w:cs="Arial"/>
          <w:b/>
          <w:sz w:val="24"/>
        </w:rPr>
        <w:t xml:space="preserve"> </w:t>
      </w:r>
      <w:r>
        <w:rPr>
          <w:rFonts w:cs="Arial"/>
          <w:b/>
          <w:sz w:val="24"/>
        </w:rPr>
        <w:t>v</w:t>
      </w:r>
      <w:r w:rsidRPr="00F10526">
        <w:rPr>
          <w:rFonts w:cs="Arial"/>
          <w:b/>
          <w:sz w:val="24"/>
        </w:rPr>
        <w:t>ous montrerez que l’État remplit plusieurs fonctions économiques.</w:t>
      </w:r>
    </w:p>
    <w:p w:rsidR="00FC203A" w:rsidRDefault="00FC203A" w:rsidP="00FC203A">
      <w:pPr>
        <w:rPr>
          <w:rFonts w:cs="Arial"/>
          <w:b/>
          <w:sz w:val="24"/>
          <w:szCs w:val="24"/>
        </w:rPr>
      </w:pPr>
    </w:p>
    <w:p w:rsidR="00FC203A" w:rsidRDefault="00FC203A" w:rsidP="00FC203A">
      <w:pPr>
        <w:rPr>
          <w:rFonts w:cs="Arial"/>
          <w:b/>
          <w:sz w:val="24"/>
          <w:szCs w:val="24"/>
        </w:rPr>
      </w:pPr>
      <w:r w:rsidRPr="002263ED">
        <w:rPr>
          <w:rFonts w:cs="Arial"/>
          <w:b/>
          <w:sz w:val="24"/>
          <w:szCs w:val="24"/>
        </w:rPr>
        <w:t xml:space="preserve">DOCUMENT </w:t>
      </w:r>
      <w:r>
        <w:rPr>
          <w:rFonts w:cs="Arial"/>
          <w:b/>
          <w:sz w:val="24"/>
          <w:szCs w:val="24"/>
        </w:rPr>
        <w:t>1</w:t>
      </w:r>
    </w:p>
    <w:p w:rsidR="00FC203A" w:rsidRDefault="00FC203A" w:rsidP="00FC203A">
      <w:pPr>
        <w:rPr>
          <w:rFonts w:cs="Arial"/>
          <w:b/>
          <w:sz w:val="24"/>
          <w:szCs w:val="24"/>
        </w:rPr>
      </w:pPr>
      <w:bookmarkStart w:id="0" w:name="_GoBack"/>
      <w:bookmarkEnd w:id="0"/>
    </w:p>
    <w:p w:rsidR="00FC203A" w:rsidRPr="0063260D" w:rsidRDefault="00FC203A" w:rsidP="00FC203A">
      <w:pPr>
        <w:pStyle w:val="Sansinterligne"/>
        <w:jc w:val="both"/>
        <w:rPr>
          <w:rFonts w:ascii="Arial" w:hAnsi="Arial" w:cs="Arial"/>
          <w:sz w:val="24"/>
          <w:szCs w:val="24"/>
        </w:rPr>
      </w:pPr>
      <w:r w:rsidRPr="0063260D">
        <w:rPr>
          <w:rFonts w:ascii="Arial" w:hAnsi="Arial" w:cs="Arial"/>
          <w:sz w:val="24"/>
          <w:szCs w:val="24"/>
        </w:rPr>
        <w:t>Au début du XIX</w:t>
      </w:r>
      <w:r w:rsidRPr="0063260D">
        <w:rPr>
          <w:rFonts w:ascii="Arial" w:hAnsi="Arial" w:cs="Arial"/>
          <w:sz w:val="24"/>
          <w:szCs w:val="24"/>
          <w:vertAlign w:val="superscript"/>
        </w:rPr>
        <w:t>e</w:t>
      </w:r>
      <w:r w:rsidRPr="0063260D">
        <w:rPr>
          <w:rFonts w:ascii="Arial" w:hAnsi="Arial" w:cs="Arial"/>
          <w:sz w:val="24"/>
          <w:szCs w:val="24"/>
        </w:rPr>
        <w:t xml:space="preserve"> siècle, […], les économistes libéraux dits "classiques", comme Adam Smith, ne prêtaient à l’État, pour l’essentiel, que des fonctions régaliennes (diplomatie, sécurité extérieure et intérieure, justice). Le marché tendant naturellement à s’autoréguler, le "laisser-faire, laisser-passer", sous l’égide</w:t>
      </w:r>
      <w:r w:rsidRPr="0063260D">
        <w:rPr>
          <w:rFonts w:ascii="Arial" w:hAnsi="Arial" w:cs="Arial"/>
          <w:sz w:val="24"/>
          <w:szCs w:val="24"/>
          <w:vertAlign w:val="superscript"/>
        </w:rPr>
        <w:t>1</w:t>
      </w:r>
      <w:r w:rsidRPr="0063260D">
        <w:rPr>
          <w:rFonts w:ascii="Arial" w:hAnsi="Arial" w:cs="Arial"/>
          <w:sz w:val="24"/>
          <w:szCs w:val="24"/>
        </w:rPr>
        <w:t xml:space="preserve"> d’un État protecteur de la libre concurrence, et donc la suppression des barrières aux échanges et à la libre concurrence, devaient conduire à une répartition optimale des ressources. Cependant, les développements de la science économique, les mutations des économies de marché, et les événements marquants du XXe siècle ont progressivement confié de nouveaux rôles à l’État. […] Avant la Première Guerre mondiale, les économistes de l’Ecole du bien-être, comme Alfred Marshall (1842-1924) et Cecil Pigou (1877-1959), ont considéré que l’État devait intervenir, par le biais de taxes, de subventions ou de réglementations, en présence d’effets ("externalités") négatifs comme la pollution, ou positifs comme la recherche. Mais aussi, que l’État devait financer par l’impôt certains biens ou services […] tels que l’éclairage des rues, qui ne pourraient être spontanément produits par le marché. </w:t>
      </w:r>
    </w:p>
    <w:p w:rsidR="00FC203A" w:rsidRPr="0063260D" w:rsidRDefault="00FC203A" w:rsidP="00FC203A">
      <w:pPr>
        <w:pStyle w:val="Sansinterligne"/>
        <w:jc w:val="both"/>
        <w:rPr>
          <w:rFonts w:ascii="Arial" w:hAnsi="Arial" w:cs="Arial"/>
          <w:sz w:val="24"/>
          <w:szCs w:val="24"/>
        </w:rPr>
      </w:pPr>
      <w:r w:rsidRPr="0063260D">
        <w:rPr>
          <w:rFonts w:ascii="Arial" w:hAnsi="Arial" w:cs="Arial"/>
          <w:sz w:val="24"/>
          <w:szCs w:val="24"/>
        </w:rPr>
        <w:t>En second lieu, l’expérience de la crise de 1929, a donné un écho particulier aux analyses de John Maynard Keynes (1883-1946). D’après lui, les mécanismes d’auto-ajustement du marché ne conduisent pas forcément à une allocation optimale des ressources. […] Il incombe alors à l’État de soutenir la croissance, stimuler l’économie afin de parvenir au plein-emploi, notamment par des politiques conjoncturelles</w:t>
      </w:r>
      <w:r w:rsidRPr="0063260D">
        <w:rPr>
          <w:rFonts w:ascii="Arial" w:hAnsi="Arial" w:cs="Arial"/>
          <w:sz w:val="24"/>
          <w:szCs w:val="24"/>
          <w:vertAlign w:val="superscript"/>
        </w:rPr>
        <w:t>2</w:t>
      </w:r>
      <w:r w:rsidRPr="0063260D">
        <w:rPr>
          <w:rFonts w:ascii="Arial" w:hAnsi="Arial" w:cs="Arial"/>
          <w:sz w:val="24"/>
          <w:szCs w:val="24"/>
        </w:rPr>
        <w:t xml:space="preserve"> de </w:t>
      </w:r>
      <w:proofErr w:type="gramStart"/>
      <w:r w:rsidRPr="0063260D">
        <w:rPr>
          <w:rFonts w:ascii="Arial" w:hAnsi="Arial" w:cs="Arial"/>
          <w:sz w:val="24"/>
          <w:szCs w:val="24"/>
        </w:rPr>
        <w:t>relance</w:t>
      </w:r>
      <w:proofErr w:type="gramEnd"/>
      <w:r w:rsidRPr="0063260D">
        <w:rPr>
          <w:rFonts w:ascii="Arial" w:hAnsi="Arial" w:cs="Arial"/>
          <w:sz w:val="24"/>
          <w:szCs w:val="24"/>
        </w:rPr>
        <w:t xml:space="preserve"> de la demande</w:t>
      </w:r>
      <w:r w:rsidRPr="0063260D">
        <w:rPr>
          <w:rFonts w:ascii="Arial" w:hAnsi="Arial" w:cs="Arial"/>
          <w:sz w:val="24"/>
          <w:szCs w:val="24"/>
          <w:vertAlign w:val="superscript"/>
        </w:rPr>
        <w:t>3</w:t>
      </w:r>
      <w:r w:rsidRPr="0063260D">
        <w:rPr>
          <w:rFonts w:ascii="Arial" w:hAnsi="Arial" w:cs="Arial"/>
          <w:sz w:val="24"/>
          <w:szCs w:val="24"/>
        </w:rPr>
        <w:t xml:space="preserve"> et en engageant des dépenses publiques supplémentaires.</w:t>
      </w:r>
    </w:p>
    <w:p w:rsidR="00FC203A" w:rsidRDefault="00FC203A" w:rsidP="00FC203A">
      <w:pPr>
        <w:pStyle w:val="Sansinterligne"/>
        <w:jc w:val="both"/>
        <w:rPr>
          <w:rFonts w:ascii="Arial" w:hAnsi="Arial" w:cs="Arial"/>
          <w:sz w:val="24"/>
          <w:szCs w:val="24"/>
        </w:rPr>
      </w:pPr>
      <w:r w:rsidRPr="0063260D">
        <w:rPr>
          <w:rFonts w:ascii="Arial" w:hAnsi="Arial" w:cs="Arial"/>
          <w:sz w:val="24"/>
          <w:szCs w:val="24"/>
        </w:rPr>
        <w:t>Après la Seconde Guerre mondiale, l’État s’est transformé à partir des ordonnances</w:t>
      </w:r>
      <w:r w:rsidRPr="0063260D">
        <w:rPr>
          <w:rFonts w:ascii="Arial" w:hAnsi="Arial" w:cs="Arial"/>
          <w:sz w:val="24"/>
          <w:szCs w:val="24"/>
          <w:vertAlign w:val="superscript"/>
        </w:rPr>
        <w:t>4</w:t>
      </w:r>
      <w:r w:rsidRPr="0063260D">
        <w:rPr>
          <w:rFonts w:ascii="Arial" w:hAnsi="Arial" w:cs="Arial"/>
          <w:sz w:val="24"/>
          <w:szCs w:val="24"/>
        </w:rPr>
        <w:t xml:space="preserve"> d’octobre 1945 fondant la Sécurité sociale en France en un "État-Providence" protégeant contre les grands "risques" de la vie (chômage, maladie, vieillesse) et redistribuant les revenus au profit des familles et des plus pauvres.</w:t>
      </w:r>
    </w:p>
    <w:p w:rsidR="00FC203A" w:rsidRPr="0063260D" w:rsidRDefault="00FC203A" w:rsidP="00FC203A">
      <w:pPr>
        <w:pStyle w:val="Sansinterligne"/>
        <w:jc w:val="both"/>
        <w:rPr>
          <w:rFonts w:ascii="Arial" w:hAnsi="Arial" w:cs="Arial"/>
          <w:sz w:val="24"/>
          <w:szCs w:val="24"/>
        </w:rPr>
      </w:pPr>
    </w:p>
    <w:p w:rsidR="00FC203A" w:rsidRPr="00583E41" w:rsidRDefault="00FC203A" w:rsidP="00FC203A">
      <w:pPr>
        <w:pStyle w:val="Sansinterligne"/>
        <w:jc w:val="right"/>
        <w:rPr>
          <w:rFonts w:ascii="Arial" w:hAnsi="Arial" w:cs="Arial"/>
          <w:sz w:val="24"/>
          <w:szCs w:val="24"/>
        </w:rPr>
      </w:pPr>
      <w:r w:rsidRPr="00583E41">
        <w:rPr>
          <w:rFonts w:ascii="Arial" w:hAnsi="Arial" w:cs="Arial"/>
          <w:sz w:val="24"/>
          <w:szCs w:val="24"/>
        </w:rPr>
        <w:t xml:space="preserve">Source : </w:t>
      </w:r>
      <w:hyperlink r:id="rId4" w:history="1">
        <w:r w:rsidRPr="00583E41">
          <w:rPr>
            <w:rStyle w:val="Lienhypertexte"/>
            <w:rFonts w:ascii="Arial" w:hAnsi="Arial" w:cs="Arial"/>
            <w:color w:val="auto"/>
            <w:sz w:val="24"/>
            <w:szCs w:val="24"/>
            <w:u w:val="none"/>
          </w:rPr>
          <w:t>www.vie-publique.fr</w:t>
        </w:r>
      </w:hyperlink>
    </w:p>
    <w:p w:rsidR="00FC203A" w:rsidRDefault="00FC203A" w:rsidP="00FC203A">
      <w:pPr>
        <w:rPr>
          <w:rFonts w:cs="Arial"/>
          <w:b/>
          <w:sz w:val="24"/>
          <w:szCs w:val="24"/>
        </w:rPr>
      </w:pPr>
    </w:p>
    <w:p w:rsidR="00FC203A" w:rsidRPr="007F6BF5" w:rsidRDefault="00FC203A" w:rsidP="00FC203A">
      <w:pPr>
        <w:pStyle w:val="Sansinterligne"/>
        <w:rPr>
          <w:rFonts w:ascii="Arial" w:hAnsi="Arial" w:cs="Arial"/>
          <w:sz w:val="24"/>
          <w:szCs w:val="24"/>
        </w:rPr>
      </w:pPr>
      <w:r w:rsidRPr="007F6BF5">
        <w:rPr>
          <w:rFonts w:ascii="Arial" w:hAnsi="Arial" w:cs="Arial"/>
          <w:sz w:val="24"/>
          <w:szCs w:val="24"/>
        </w:rPr>
        <w:t>1 : Sous l’autorité.</w:t>
      </w:r>
    </w:p>
    <w:p w:rsidR="00FC203A" w:rsidRPr="007F6BF5" w:rsidRDefault="00FC203A" w:rsidP="00FC203A">
      <w:pPr>
        <w:pStyle w:val="Sansinterligne"/>
        <w:rPr>
          <w:rFonts w:ascii="Arial" w:hAnsi="Arial" w:cs="Arial"/>
          <w:sz w:val="24"/>
          <w:szCs w:val="24"/>
        </w:rPr>
      </w:pPr>
      <w:r w:rsidRPr="007F6BF5">
        <w:rPr>
          <w:rFonts w:ascii="Arial" w:hAnsi="Arial" w:cs="Arial"/>
          <w:sz w:val="24"/>
          <w:szCs w:val="24"/>
        </w:rPr>
        <w:t>2 : Politiques qui visent à agir à court terme sur des variables</w:t>
      </w:r>
      <w:r w:rsidR="00583E41">
        <w:rPr>
          <w:rFonts w:ascii="Arial" w:hAnsi="Arial" w:cs="Arial"/>
          <w:sz w:val="24"/>
          <w:szCs w:val="24"/>
        </w:rPr>
        <w:t xml:space="preserve"> </w:t>
      </w:r>
      <w:r w:rsidRPr="007F6BF5">
        <w:rPr>
          <w:rFonts w:ascii="Arial" w:hAnsi="Arial" w:cs="Arial"/>
          <w:sz w:val="24"/>
          <w:szCs w:val="24"/>
        </w:rPr>
        <w:t>macroéconomiques comme la croissance, le chômage, l’inflation.</w:t>
      </w:r>
    </w:p>
    <w:p w:rsidR="00FC203A" w:rsidRPr="007F6BF5" w:rsidRDefault="00FC203A" w:rsidP="00FC203A">
      <w:pPr>
        <w:pStyle w:val="Sansinterligne"/>
        <w:rPr>
          <w:rFonts w:ascii="Arial" w:hAnsi="Arial" w:cs="Arial"/>
          <w:sz w:val="24"/>
          <w:szCs w:val="24"/>
        </w:rPr>
      </w:pPr>
      <w:r w:rsidRPr="007F6BF5">
        <w:rPr>
          <w:rFonts w:ascii="Arial" w:hAnsi="Arial" w:cs="Arial"/>
          <w:sz w:val="24"/>
          <w:szCs w:val="24"/>
        </w:rPr>
        <w:t>3 : Mesures qui visent à augmenter à court terme la consommation des ménages et l’investissement des entreprises.</w:t>
      </w:r>
    </w:p>
    <w:p w:rsidR="00FC203A" w:rsidRPr="007F6BF5" w:rsidRDefault="00FC203A" w:rsidP="00FC203A">
      <w:pPr>
        <w:pStyle w:val="Sansinterligne"/>
        <w:rPr>
          <w:rFonts w:ascii="Arial" w:hAnsi="Arial" w:cs="Arial"/>
          <w:sz w:val="24"/>
          <w:szCs w:val="24"/>
        </w:rPr>
      </w:pPr>
      <w:r w:rsidRPr="007F6BF5">
        <w:rPr>
          <w:rFonts w:ascii="Arial" w:hAnsi="Arial" w:cs="Arial"/>
          <w:sz w:val="24"/>
          <w:szCs w:val="24"/>
        </w:rPr>
        <w:t>4 : Acte pris par le gouvernement, avec l’autorisation du Parlement, dans des domaines qui relèvent normalement de la loi.</w:t>
      </w:r>
    </w:p>
    <w:p w:rsidR="00FC203A" w:rsidRPr="0009387D" w:rsidRDefault="00FC203A" w:rsidP="00FC203A">
      <w:pPr>
        <w:rPr>
          <w:rFonts w:cs="Arial"/>
          <w:b/>
          <w:sz w:val="24"/>
          <w:szCs w:val="24"/>
        </w:rPr>
      </w:pPr>
    </w:p>
    <w:p w:rsidR="00FC203A" w:rsidRDefault="00FC203A" w:rsidP="00FC203A">
      <w:pPr>
        <w:rPr>
          <w:rFonts w:cs="Arial"/>
          <w:b/>
          <w:sz w:val="24"/>
        </w:rPr>
      </w:pPr>
    </w:p>
    <w:p w:rsidR="00FC203A" w:rsidRDefault="00FC203A" w:rsidP="00FC203A">
      <w:pPr>
        <w:rPr>
          <w:rFonts w:cs="Arial"/>
          <w:b/>
          <w:sz w:val="24"/>
        </w:rPr>
      </w:pPr>
    </w:p>
    <w:p w:rsidR="00FC203A" w:rsidRDefault="00FC203A" w:rsidP="00FC203A">
      <w:pPr>
        <w:rPr>
          <w:rFonts w:cs="Arial"/>
          <w:b/>
          <w:sz w:val="24"/>
        </w:rPr>
      </w:pPr>
    </w:p>
    <w:p w:rsidR="00FC203A" w:rsidRDefault="00FC203A" w:rsidP="00FC203A">
      <w:pPr>
        <w:rPr>
          <w:rFonts w:cs="Arial"/>
          <w:b/>
          <w:sz w:val="24"/>
        </w:rPr>
      </w:pPr>
    </w:p>
    <w:p w:rsidR="00FC203A" w:rsidRDefault="00FC203A" w:rsidP="00FC203A">
      <w:pPr>
        <w:rPr>
          <w:rFonts w:cs="Arial"/>
          <w:b/>
          <w:sz w:val="24"/>
        </w:rPr>
      </w:pPr>
      <w:r>
        <w:rPr>
          <w:rFonts w:cs="Arial"/>
          <w:b/>
          <w:sz w:val="24"/>
        </w:rPr>
        <w:lastRenderedPageBreak/>
        <w:t>DOCUMENT 2</w:t>
      </w:r>
    </w:p>
    <w:p w:rsidR="00FC203A" w:rsidRDefault="00FC203A" w:rsidP="00FC203A">
      <w:pPr>
        <w:rPr>
          <w:rFonts w:cs="Arial"/>
          <w:b/>
          <w:sz w:val="24"/>
        </w:rPr>
      </w:pPr>
    </w:p>
    <w:p w:rsidR="00FC203A" w:rsidRPr="0063260D" w:rsidRDefault="00FC203A" w:rsidP="00FC203A">
      <w:pPr>
        <w:pStyle w:val="Default"/>
        <w:jc w:val="center"/>
        <w:rPr>
          <w:rFonts w:eastAsia="Times New Roman"/>
          <w:b/>
        </w:rPr>
      </w:pPr>
      <w:r w:rsidRPr="0063260D">
        <w:rPr>
          <w:b/>
        </w:rPr>
        <w:t>Montants moyens des pr</w:t>
      </w:r>
      <w:r w:rsidRPr="0063260D">
        <w:rPr>
          <w:rFonts w:eastAsia="Times New Roman"/>
          <w:b/>
        </w:rPr>
        <w:t>élèvements et prestations en 2013</w:t>
      </w:r>
    </w:p>
    <w:p w:rsidR="00FC203A" w:rsidRPr="0063260D" w:rsidRDefault="00FC203A" w:rsidP="00FC203A">
      <w:pPr>
        <w:pStyle w:val="Default"/>
        <w:jc w:val="center"/>
        <w:rPr>
          <w:b/>
        </w:rPr>
      </w:pPr>
      <w:r w:rsidRPr="0063260D">
        <w:rPr>
          <w:rFonts w:eastAsia="Times New Roman"/>
          <w:b/>
        </w:rPr>
        <w:t>(</w:t>
      </w:r>
      <w:proofErr w:type="gramStart"/>
      <w:r>
        <w:rPr>
          <w:rFonts w:eastAsia="Times New Roman"/>
          <w:b/>
        </w:rPr>
        <w:t>e</w:t>
      </w:r>
      <w:r w:rsidRPr="0063260D">
        <w:rPr>
          <w:rFonts w:eastAsia="Times New Roman"/>
          <w:b/>
        </w:rPr>
        <w:t>n</w:t>
      </w:r>
      <w:proofErr w:type="gramEnd"/>
      <w:r w:rsidRPr="0063260D">
        <w:rPr>
          <w:rFonts w:eastAsia="Times New Roman"/>
          <w:b/>
        </w:rPr>
        <w:t xml:space="preserve"> euros par unité de consommation</w:t>
      </w:r>
      <w:r w:rsidRPr="0063260D">
        <w:rPr>
          <w:rFonts w:eastAsia="Times New Roman"/>
          <w:b/>
          <w:vertAlign w:val="superscript"/>
        </w:rPr>
        <w:t>1</w:t>
      </w:r>
      <w:r w:rsidRPr="0063260D">
        <w:rPr>
          <w:rFonts w:eastAsia="Times New Roman"/>
          <w:b/>
        </w:rPr>
        <w:t>)</w:t>
      </w:r>
    </w:p>
    <w:p w:rsidR="00FC203A" w:rsidRPr="0063260D" w:rsidRDefault="00FC203A" w:rsidP="00FC203A">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266"/>
        <w:gridCol w:w="2539"/>
        <w:gridCol w:w="2539"/>
        <w:gridCol w:w="1718"/>
      </w:tblGrid>
      <w:tr w:rsidR="00FC203A" w:rsidRPr="0063260D" w:rsidTr="00D44AB0">
        <w:trPr>
          <w:trHeight w:hRule="exact" w:val="510"/>
        </w:trPr>
        <w:tc>
          <w:tcPr>
            <w:tcW w:w="12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03A" w:rsidRPr="004407E9" w:rsidRDefault="00FC203A" w:rsidP="00D44AB0">
            <w:pPr>
              <w:pStyle w:val="Default"/>
              <w:spacing w:line="276" w:lineRule="auto"/>
              <w:jc w:val="center"/>
              <w:rPr>
                <w:sz w:val="22"/>
                <w:szCs w:val="22"/>
              </w:rPr>
            </w:pPr>
          </w:p>
        </w:tc>
        <w:tc>
          <w:tcPr>
            <w:tcW w:w="14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z w:val="22"/>
                <w:szCs w:val="22"/>
              </w:rPr>
              <w:t>Les 10%</w:t>
            </w:r>
            <w:r>
              <w:rPr>
                <w:sz w:val="22"/>
                <w:szCs w:val="22"/>
              </w:rPr>
              <w:t xml:space="preserve"> de personnes</w:t>
            </w:r>
            <w:r w:rsidRPr="004407E9">
              <w:rPr>
                <w:sz w:val="22"/>
                <w:szCs w:val="22"/>
              </w:rPr>
              <w:t xml:space="preserve"> les moins aisé</w:t>
            </w:r>
            <w:r>
              <w:rPr>
                <w:sz w:val="22"/>
                <w:szCs w:val="22"/>
              </w:rPr>
              <w:t>e</w:t>
            </w:r>
            <w:r w:rsidRPr="004407E9">
              <w:rPr>
                <w:sz w:val="22"/>
                <w:szCs w:val="22"/>
              </w:rPr>
              <w:t>s</w:t>
            </w:r>
          </w:p>
        </w:tc>
        <w:tc>
          <w:tcPr>
            <w:tcW w:w="14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6"/>
                <w:w w:val="92"/>
                <w:sz w:val="22"/>
                <w:szCs w:val="22"/>
              </w:rPr>
              <w:t>Les 10%</w:t>
            </w:r>
            <w:r>
              <w:rPr>
                <w:spacing w:val="-6"/>
                <w:w w:val="92"/>
                <w:sz w:val="22"/>
                <w:szCs w:val="22"/>
              </w:rPr>
              <w:t xml:space="preserve"> de personnes</w:t>
            </w:r>
            <w:r w:rsidRPr="004407E9">
              <w:rPr>
                <w:spacing w:val="-6"/>
                <w:w w:val="92"/>
                <w:sz w:val="22"/>
                <w:szCs w:val="22"/>
              </w:rPr>
              <w:t xml:space="preserve"> les plus aisé</w:t>
            </w:r>
            <w:r>
              <w:rPr>
                <w:spacing w:val="-6"/>
                <w:w w:val="92"/>
                <w:sz w:val="22"/>
                <w:szCs w:val="22"/>
              </w:rPr>
              <w:t>e</w:t>
            </w:r>
            <w:r w:rsidRPr="004407E9">
              <w:rPr>
                <w:spacing w:val="-6"/>
                <w:w w:val="92"/>
                <w:sz w:val="22"/>
                <w:szCs w:val="22"/>
              </w:rPr>
              <w:t>s</w:t>
            </w:r>
          </w:p>
        </w:tc>
        <w:tc>
          <w:tcPr>
            <w:tcW w:w="94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z w:val="22"/>
                <w:szCs w:val="22"/>
              </w:rPr>
              <w:t>Ensemble</w:t>
            </w:r>
          </w:p>
        </w:tc>
      </w:tr>
      <w:tr w:rsidR="00FC203A" w:rsidRPr="0063260D" w:rsidTr="00D44AB0">
        <w:trPr>
          <w:trHeight w:hRule="exact" w:val="68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FC203A" w:rsidRPr="004407E9" w:rsidRDefault="00FC203A" w:rsidP="00D44AB0">
            <w:pPr>
              <w:rPr>
                <w:rFonts w:eastAsiaTheme="minorEastAsia" w:cs="Arial"/>
                <w:color w:val="000000"/>
                <w:sz w:val="22"/>
                <w:szCs w:val="22"/>
              </w:rPr>
            </w:pPr>
          </w:p>
        </w:tc>
        <w:tc>
          <w:tcPr>
            <w:tcW w:w="1401" w:type="pct"/>
            <w:vMerge/>
            <w:tcBorders>
              <w:top w:val="single" w:sz="4" w:space="0" w:color="auto"/>
              <w:left w:val="single" w:sz="4" w:space="0" w:color="auto"/>
              <w:bottom w:val="single" w:sz="4" w:space="0" w:color="auto"/>
              <w:right w:val="single" w:sz="4" w:space="0" w:color="auto"/>
            </w:tcBorders>
            <w:vAlign w:val="center"/>
            <w:hideMark/>
          </w:tcPr>
          <w:p w:rsidR="00FC203A" w:rsidRPr="004407E9" w:rsidRDefault="00FC203A" w:rsidP="00D44AB0">
            <w:pPr>
              <w:rPr>
                <w:rFonts w:eastAsiaTheme="minorEastAsia" w:cs="Arial"/>
                <w:color w:val="000000"/>
                <w:sz w:val="22"/>
                <w:szCs w:val="22"/>
              </w:rPr>
            </w:pPr>
          </w:p>
        </w:tc>
        <w:tc>
          <w:tcPr>
            <w:tcW w:w="1401" w:type="pct"/>
            <w:vMerge/>
            <w:tcBorders>
              <w:top w:val="single" w:sz="4" w:space="0" w:color="auto"/>
              <w:left w:val="single" w:sz="4" w:space="0" w:color="auto"/>
              <w:bottom w:val="single" w:sz="4" w:space="0" w:color="auto"/>
              <w:right w:val="single" w:sz="4" w:space="0" w:color="auto"/>
            </w:tcBorders>
            <w:vAlign w:val="center"/>
            <w:hideMark/>
          </w:tcPr>
          <w:p w:rsidR="00FC203A" w:rsidRPr="004407E9" w:rsidRDefault="00FC203A" w:rsidP="00D44AB0">
            <w:pPr>
              <w:rPr>
                <w:rFonts w:eastAsiaTheme="minorEastAsia" w:cs="Arial"/>
                <w:color w:val="000000"/>
                <w:sz w:val="22"/>
                <w:szCs w:val="22"/>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FC203A" w:rsidRPr="004407E9" w:rsidRDefault="00FC203A" w:rsidP="00D44AB0">
            <w:pPr>
              <w:rPr>
                <w:rFonts w:eastAsiaTheme="minorEastAsia" w:cs="Arial"/>
                <w:b/>
                <w:color w:val="000000"/>
                <w:sz w:val="22"/>
                <w:szCs w:val="22"/>
              </w:rPr>
            </w:pPr>
          </w:p>
        </w:tc>
      </w:tr>
      <w:tr w:rsidR="00FC203A" w:rsidRPr="0063260D" w:rsidTr="00D44AB0">
        <w:trPr>
          <w:trHeight w:hRule="exact" w:val="680"/>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w w:val="92"/>
                <w:sz w:val="22"/>
                <w:szCs w:val="22"/>
              </w:rPr>
              <w:t>Revenu avant redistribution</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z w:val="22"/>
                <w:szCs w:val="22"/>
              </w:rPr>
              <w:t>3 730</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z w:val="22"/>
                <w:szCs w:val="22"/>
              </w:rPr>
              <w:t>75 330</w:t>
            </w:r>
          </w:p>
        </w:tc>
        <w:tc>
          <w:tcPr>
            <w:tcW w:w="9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pacing w:val="4"/>
                <w:w w:val="92"/>
                <w:sz w:val="22"/>
                <w:szCs w:val="22"/>
              </w:rPr>
              <w:t>25 990</w:t>
            </w:r>
          </w:p>
        </w:tc>
      </w:tr>
      <w:tr w:rsidR="00FC203A" w:rsidRPr="0063260D" w:rsidTr="00D44AB0">
        <w:trPr>
          <w:trHeight w:hRule="exact" w:val="680"/>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pacing w:val="1"/>
                <w:w w:val="92"/>
                <w:sz w:val="22"/>
                <w:szCs w:val="22"/>
              </w:rPr>
              <w:t>Pr</w:t>
            </w:r>
            <w:r w:rsidRPr="004407E9">
              <w:rPr>
                <w:rFonts w:eastAsia="Times New Roman"/>
                <w:b/>
                <w:spacing w:val="1"/>
                <w:w w:val="92"/>
                <w:sz w:val="22"/>
                <w:szCs w:val="22"/>
              </w:rPr>
              <w:t>élèvements</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pacing w:val="5"/>
                <w:w w:val="92"/>
                <w:sz w:val="22"/>
                <w:szCs w:val="22"/>
              </w:rPr>
              <w:t>-160</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pacing w:val="6"/>
                <w:w w:val="92"/>
                <w:sz w:val="22"/>
                <w:szCs w:val="22"/>
              </w:rPr>
              <w:t>-17 220</w:t>
            </w:r>
          </w:p>
        </w:tc>
        <w:tc>
          <w:tcPr>
            <w:tcW w:w="9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pacing w:val="8"/>
                <w:w w:val="92"/>
                <w:sz w:val="22"/>
                <w:szCs w:val="22"/>
              </w:rPr>
              <w:t>-3 750</w:t>
            </w:r>
          </w:p>
        </w:tc>
      </w:tr>
      <w:tr w:rsidR="00FC203A" w:rsidRPr="0063260D" w:rsidTr="00D44AB0">
        <w:trPr>
          <w:trHeight w:hRule="exact" w:val="680"/>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1"/>
                <w:w w:val="92"/>
                <w:sz w:val="22"/>
                <w:szCs w:val="22"/>
              </w:rPr>
              <w:t>Cotisations sociales</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5"/>
                <w:w w:val="92"/>
                <w:sz w:val="22"/>
                <w:szCs w:val="22"/>
              </w:rPr>
              <w:t>-200</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1"/>
                <w:w w:val="92"/>
                <w:sz w:val="22"/>
                <w:szCs w:val="22"/>
              </w:rPr>
              <w:t>-6 280</w:t>
            </w:r>
          </w:p>
        </w:tc>
        <w:tc>
          <w:tcPr>
            <w:tcW w:w="9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3"/>
                <w:w w:val="92"/>
                <w:sz w:val="22"/>
                <w:szCs w:val="22"/>
              </w:rPr>
              <w:t>-1 900</w:t>
            </w:r>
          </w:p>
        </w:tc>
      </w:tr>
      <w:tr w:rsidR="00FC203A" w:rsidRPr="0063260D" w:rsidTr="00D44AB0">
        <w:trPr>
          <w:trHeight w:hRule="exact" w:val="680"/>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1"/>
                <w:w w:val="92"/>
                <w:sz w:val="22"/>
                <w:szCs w:val="22"/>
              </w:rPr>
              <w:t>Imp</w:t>
            </w:r>
            <w:r w:rsidRPr="004407E9">
              <w:rPr>
                <w:rFonts w:eastAsia="Times New Roman"/>
                <w:spacing w:val="-1"/>
                <w:w w:val="92"/>
                <w:sz w:val="22"/>
                <w:szCs w:val="22"/>
              </w:rPr>
              <w:t>ôts directs</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z w:val="22"/>
                <w:szCs w:val="22"/>
              </w:rPr>
              <w:t>40</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1"/>
                <w:w w:val="92"/>
                <w:sz w:val="22"/>
                <w:szCs w:val="22"/>
              </w:rPr>
              <w:t>-10 940</w:t>
            </w:r>
          </w:p>
        </w:tc>
        <w:tc>
          <w:tcPr>
            <w:tcW w:w="9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3"/>
                <w:w w:val="92"/>
                <w:sz w:val="22"/>
                <w:szCs w:val="22"/>
              </w:rPr>
              <w:t>-1 860</w:t>
            </w:r>
          </w:p>
        </w:tc>
      </w:tr>
      <w:tr w:rsidR="00FC203A" w:rsidRPr="0063260D" w:rsidTr="00D44AB0">
        <w:trPr>
          <w:trHeight w:hRule="exact" w:val="680"/>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pacing w:val="1"/>
                <w:w w:val="92"/>
                <w:sz w:val="22"/>
                <w:szCs w:val="22"/>
              </w:rPr>
              <w:t>Prestations</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pacing w:val="5"/>
                <w:w w:val="92"/>
                <w:sz w:val="22"/>
                <w:szCs w:val="22"/>
              </w:rPr>
              <w:t>6 280</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z w:val="22"/>
                <w:szCs w:val="22"/>
              </w:rPr>
              <w:t>340</w:t>
            </w:r>
          </w:p>
        </w:tc>
        <w:tc>
          <w:tcPr>
            <w:tcW w:w="9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pacing w:val="5"/>
                <w:w w:val="92"/>
                <w:sz w:val="22"/>
                <w:szCs w:val="22"/>
              </w:rPr>
              <w:t>1 470</w:t>
            </w:r>
          </w:p>
        </w:tc>
      </w:tr>
      <w:tr w:rsidR="00FC203A" w:rsidRPr="0063260D" w:rsidTr="00D44AB0">
        <w:trPr>
          <w:trHeight w:hRule="exact" w:val="680"/>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1"/>
                <w:w w:val="92"/>
                <w:sz w:val="22"/>
                <w:szCs w:val="22"/>
              </w:rPr>
              <w:t>Prestations familiales</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5"/>
                <w:w w:val="92"/>
                <w:sz w:val="22"/>
                <w:szCs w:val="22"/>
              </w:rPr>
              <w:t>1 880</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z w:val="22"/>
                <w:szCs w:val="22"/>
              </w:rPr>
              <w:t>290</w:t>
            </w:r>
          </w:p>
        </w:tc>
        <w:tc>
          <w:tcPr>
            <w:tcW w:w="9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z w:val="22"/>
                <w:szCs w:val="22"/>
              </w:rPr>
              <w:t>740</w:t>
            </w:r>
          </w:p>
        </w:tc>
      </w:tr>
      <w:tr w:rsidR="00FC203A" w:rsidRPr="0063260D" w:rsidTr="00D44AB0">
        <w:trPr>
          <w:trHeight w:hRule="exact" w:val="680"/>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1"/>
                <w:w w:val="92"/>
                <w:sz w:val="22"/>
                <w:szCs w:val="22"/>
              </w:rPr>
              <w:t>Aides au logement</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1"/>
                <w:w w:val="92"/>
                <w:sz w:val="22"/>
                <w:szCs w:val="22"/>
              </w:rPr>
              <w:t>1 950</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z w:val="22"/>
                <w:szCs w:val="22"/>
              </w:rPr>
              <w:t>10</w:t>
            </w:r>
          </w:p>
        </w:tc>
        <w:tc>
          <w:tcPr>
            <w:tcW w:w="9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z w:val="22"/>
                <w:szCs w:val="22"/>
              </w:rPr>
              <w:t>350</w:t>
            </w:r>
          </w:p>
        </w:tc>
      </w:tr>
      <w:tr w:rsidR="00FC203A" w:rsidRPr="0063260D" w:rsidTr="00D44AB0">
        <w:trPr>
          <w:trHeight w:hRule="exact" w:val="680"/>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1"/>
                <w:w w:val="92"/>
                <w:sz w:val="22"/>
                <w:szCs w:val="22"/>
              </w:rPr>
              <w:t>Minima sociaux et</w:t>
            </w:r>
          </w:p>
          <w:p w:rsidR="00FC203A" w:rsidRPr="004407E9" w:rsidRDefault="00FC203A" w:rsidP="00D44AB0">
            <w:pPr>
              <w:pStyle w:val="Default"/>
              <w:spacing w:line="276" w:lineRule="auto"/>
              <w:jc w:val="center"/>
              <w:rPr>
                <w:sz w:val="22"/>
                <w:szCs w:val="22"/>
              </w:rPr>
            </w:pPr>
            <w:r w:rsidRPr="004407E9">
              <w:rPr>
                <w:spacing w:val="-2"/>
                <w:sz w:val="22"/>
                <w:szCs w:val="22"/>
              </w:rPr>
              <w:t>RSA</w:t>
            </w:r>
            <w:r w:rsidRPr="004407E9">
              <w:rPr>
                <w:spacing w:val="-2"/>
                <w:sz w:val="22"/>
                <w:szCs w:val="22"/>
                <w:vertAlign w:val="superscript"/>
              </w:rPr>
              <w:t>2</w:t>
            </w:r>
            <w:r w:rsidRPr="004407E9">
              <w:rPr>
                <w:spacing w:val="-2"/>
                <w:sz w:val="22"/>
                <w:szCs w:val="22"/>
              </w:rPr>
              <w:t xml:space="preserve"> activité</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pacing w:val="5"/>
                <w:w w:val="92"/>
                <w:sz w:val="22"/>
                <w:szCs w:val="22"/>
              </w:rPr>
              <w:t>2 450</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z w:val="22"/>
                <w:szCs w:val="22"/>
              </w:rPr>
              <w:t>30</w:t>
            </w:r>
          </w:p>
        </w:tc>
        <w:tc>
          <w:tcPr>
            <w:tcW w:w="9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sz w:val="22"/>
                <w:szCs w:val="22"/>
              </w:rPr>
            </w:pPr>
            <w:r w:rsidRPr="004407E9">
              <w:rPr>
                <w:sz w:val="22"/>
                <w:szCs w:val="22"/>
              </w:rPr>
              <w:t>380</w:t>
            </w:r>
          </w:p>
        </w:tc>
      </w:tr>
      <w:tr w:rsidR="00FC203A" w:rsidRPr="0063260D" w:rsidTr="00D44AB0">
        <w:trPr>
          <w:trHeight w:hRule="exact" w:val="680"/>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w w:val="92"/>
                <w:sz w:val="22"/>
                <w:szCs w:val="22"/>
              </w:rPr>
              <w:t xml:space="preserve">Revenu </w:t>
            </w:r>
            <w:r w:rsidRPr="004407E9">
              <w:rPr>
                <w:b/>
                <w:spacing w:val="3"/>
                <w:w w:val="92"/>
                <w:sz w:val="22"/>
                <w:szCs w:val="22"/>
              </w:rPr>
              <w:t>disponible</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pacing w:val="5"/>
                <w:w w:val="92"/>
                <w:sz w:val="22"/>
                <w:szCs w:val="22"/>
              </w:rPr>
              <w:t>9 850</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pacing w:val="3"/>
                <w:w w:val="92"/>
                <w:sz w:val="22"/>
                <w:szCs w:val="22"/>
              </w:rPr>
              <w:t>58 440</w:t>
            </w:r>
          </w:p>
        </w:tc>
        <w:tc>
          <w:tcPr>
            <w:tcW w:w="9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03A" w:rsidRPr="004407E9" w:rsidRDefault="00FC203A" w:rsidP="00D44AB0">
            <w:pPr>
              <w:pStyle w:val="Default"/>
              <w:spacing w:line="276" w:lineRule="auto"/>
              <w:jc w:val="center"/>
              <w:rPr>
                <w:b/>
                <w:sz w:val="22"/>
                <w:szCs w:val="22"/>
              </w:rPr>
            </w:pPr>
            <w:r w:rsidRPr="004407E9">
              <w:rPr>
                <w:b/>
                <w:spacing w:val="3"/>
                <w:w w:val="92"/>
                <w:sz w:val="22"/>
                <w:szCs w:val="22"/>
              </w:rPr>
              <w:t>23 700</w:t>
            </w:r>
          </w:p>
        </w:tc>
      </w:tr>
    </w:tbl>
    <w:p w:rsidR="00FC203A" w:rsidRPr="0063260D" w:rsidRDefault="00FC203A" w:rsidP="00FC203A">
      <w:pPr>
        <w:pStyle w:val="Default"/>
        <w:rPr>
          <w:spacing w:val="-2"/>
        </w:rPr>
      </w:pPr>
    </w:p>
    <w:p w:rsidR="00FC203A" w:rsidRPr="00FB77B4" w:rsidRDefault="00FC203A" w:rsidP="00FC203A">
      <w:pPr>
        <w:pStyle w:val="Default"/>
        <w:jc w:val="both"/>
        <w:rPr>
          <w:spacing w:val="-2"/>
          <w:sz w:val="22"/>
          <w:szCs w:val="22"/>
        </w:rPr>
      </w:pPr>
      <w:r w:rsidRPr="00FB77B4">
        <w:rPr>
          <w:spacing w:val="-2"/>
          <w:sz w:val="22"/>
          <w:szCs w:val="22"/>
        </w:rPr>
        <w:t>Champ : France métropolitaine, personnes vivant dans un ménage dont le revenu est positif ou nul et dont la personne de référence n’est pas étudiante.</w:t>
      </w:r>
    </w:p>
    <w:p w:rsidR="00FC203A" w:rsidRPr="00FB77B4" w:rsidRDefault="00FC203A" w:rsidP="00FC203A">
      <w:pPr>
        <w:pStyle w:val="Default"/>
        <w:jc w:val="both"/>
        <w:rPr>
          <w:spacing w:val="-2"/>
          <w:sz w:val="22"/>
          <w:szCs w:val="22"/>
        </w:rPr>
      </w:pPr>
    </w:p>
    <w:p w:rsidR="00FC203A" w:rsidRPr="00FB77B4" w:rsidRDefault="00FC203A" w:rsidP="00FC203A">
      <w:pPr>
        <w:pStyle w:val="Default"/>
        <w:jc w:val="both"/>
        <w:rPr>
          <w:spacing w:val="-2"/>
          <w:sz w:val="22"/>
          <w:szCs w:val="22"/>
        </w:rPr>
      </w:pPr>
      <w:r w:rsidRPr="00FB77B4">
        <w:rPr>
          <w:spacing w:val="-2"/>
          <w:sz w:val="22"/>
          <w:szCs w:val="22"/>
        </w:rPr>
        <w:t>Lecture : en 2013, les 10% de personnes les plus aisées ont versé en moyenne 10 940 € d’impôts directs par unité de consommation.</w:t>
      </w:r>
    </w:p>
    <w:p w:rsidR="00FC203A" w:rsidRPr="00FB77B4" w:rsidRDefault="00FC203A" w:rsidP="00FC203A">
      <w:pPr>
        <w:pStyle w:val="Default"/>
        <w:rPr>
          <w:spacing w:val="-2"/>
          <w:sz w:val="22"/>
          <w:szCs w:val="22"/>
        </w:rPr>
      </w:pPr>
    </w:p>
    <w:p w:rsidR="00FC203A" w:rsidRPr="00FB77B4" w:rsidRDefault="00FC203A" w:rsidP="00FC203A">
      <w:pPr>
        <w:pStyle w:val="Default"/>
        <w:jc w:val="right"/>
        <w:rPr>
          <w:spacing w:val="-2"/>
          <w:sz w:val="22"/>
          <w:szCs w:val="22"/>
        </w:rPr>
      </w:pPr>
      <w:r w:rsidRPr="00FB77B4">
        <w:rPr>
          <w:spacing w:val="-2"/>
          <w:sz w:val="22"/>
          <w:szCs w:val="22"/>
        </w:rPr>
        <w:t xml:space="preserve">Source : </w:t>
      </w:r>
      <w:r w:rsidRPr="000A2046">
        <w:rPr>
          <w:spacing w:val="-2"/>
          <w:sz w:val="22"/>
          <w:szCs w:val="22"/>
        </w:rPr>
        <w:t>« Revenus, niveaux de vie »</w:t>
      </w:r>
      <w:r w:rsidRPr="00FB77B4">
        <w:rPr>
          <w:spacing w:val="-2"/>
          <w:sz w:val="22"/>
          <w:szCs w:val="22"/>
        </w:rPr>
        <w:t>, INSEE, 2014.</w:t>
      </w:r>
    </w:p>
    <w:p w:rsidR="00FC203A" w:rsidRPr="0063260D" w:rsidRDefault="00FC203A" w:rsidP="00FC203A">
      <w:pPr>
        <w:pStyle w:val="Default"/>
        <w:jc w:val="both"/>
        <w:rPr>
          <w:spacing w:val="-2"/>
        </w:rPr>
      </w:pPr>
    </w:p>
    <w:p w:rsidR="00FC203A" w:rsidRPr="0063260D" w:rsidRDefault="00FC203A" w:rsidP="00FC203A">
      <w:pPr>
        <w:pStyle w:val="Default"/>
        <w:jc w:val="both"/>
        <w:rPr>
          <w:spacing w:val="-2"/>
        </w:rPr>
      </w:pPr>
      <w:r w:rsidRPr="0063260D">
        <w:rPr>
          <w:spacing w:val="-2"/>
        </w:rPr>
        <w:t>1 : Mode de calcul permettant de tenir compte de la taille des ménages.</w:t>
      </w:r>
    </w:p>
    <w:p w:rsidR="00FC203A" w:rsidRPr="006F5C7A" w:rsidRDefault="00FC203A" w:rsidP="00FC203A">
      <w:pPr>
        <w:pStyle w:val="Default"/>
        <w:jc w:val="both"/>
      </w:pPr>
      <w:r w:rsidRPr="0063260D">
        <w:rPr>
          <w:spacing w:val="-2"/>
        </w:rPr>
        <w:t>2 : Le revenu de solidarit</w:t>
      </w:r>
      <w:r w:rsidRPr="0063260D">
        <w:rPr>
          <w:rFonts w:eastAsia="Times New Roman"/>
          <w:spacing w:val="-2"/>
        </w:rPr>
        <w:t>é active (RSA) assure aux personnes sans ressources ou disposant de faibles ressources un niveau minimum de revenu, variable selon la composition du foyer.</w:t>
      </w:r>
    </w:p>
    <w:p w:rsidR="00FC203A" w:rsidRDefault="00FC203A" w:rsidP="00FC203A">
      <w:pPr>
        <w:rPr>
          <w:rFonts w:cs="Arial"/>
          <w:b/>
          <w:sz w:val="24"/>
        </w:rPr>
      </w:pPr>
    </w:p>
    <w:p w:rsidR="00FC203A" w:rsidRDefault="00FC203A" w:rsidP="00FC203A">
      <w:pPr>
        <w:jc w:val="right"/>
        <w:rPr>
          <w:rFonts w:cs="Arial"/>
        </w:rPr>
      </w:pPr>
    </w:p>
    <w:p w:rsidR="00FC203A" w:rsidRDefault="00FC203A" w:rsidP="00FC203A">
      <w:pPr>
        <w:jc w:val="both"/>
        <w:rPr>
          <w:rFonts w:cs="Arial"/>
          <w:b/>
          <w:sz w:val="24"/>
          <w:szCs w:val="24"/>
        </w:rPr>
      </w:pPr>
    </w:p>
    <w:p w:rsidR="00FC203A" w:rsidRDefault="00FC203A" w:rsidP="00FC203A">
      <w:pPr>
        <w:jc w:val="both"/>
        <w:rPr>
          <w:rFonts w:cs="Arial"/>
          <w:b/>
          <w:sz w:val="24"/>
          <w:szCs w:val="24"/>
        </w:rPr>
      </w:pPr>
    </w:p>
    <w:p w:rsidR="00FC203A" w:rsidRDefault="00FC203A" w:rsidP="00FC203A">
      <w:pPr>
        <w:jc w:val="both"/>
        <w:rPr>
          <w:rFonts w:cs="Arial"/>
          <w:b/>
          <w:sz w:val="24"/>
          <w:szCs w:val="24"/>
        </w:rPr>
      </w:pPr>
    </w:p>
    <w:p w:rsidR="00FC203A" w:rsidRDefault="00FC203A" w:rsidP="00FC203A">
      <w:pPr>
        <w:jc w:val="both"/>
        <w:rPr>
          <w:rFonts w:cs="Arial"/>
          <w:b/>
          <w:sz w:val="24"/>
          <w:szCs w:val="24"/>
        </w:rPr>
      </w:pPr>
    </w:p>
    <w:p w:rsidR="00FC203A" w:rsidRPr="00412EC4" w:rsidRDefault="00FC203A" w:rsidP="00FC203A">
      <w:pPr>
        <w:jc w:val="both"/>
        <w:rPr>
          <w:rFonts w:cs="Arial"/>
          <w:b/>
          <w:sz w:val="24"/>
          <w:szCs w:val="24"/>
        </w:rPr>
      </w:pPr>
      <w:r w:rsidRPr="00412EC4">
        <w:rPr>
          <w:rFonts w:cs="Arial"/>
          <w:b/>
          <w:sz w:val="24"/>
          <w:szCs w:val="24"/>
        </w:rPr>
        <w:lastRenderedPageBreak/>
        <w:t>DOCUMENT 3</w:t>
      </w:r>
    </w:p>
    <w:p w:rsidR="00FC203A" w:rsidRDefault="00FC203A" w:rsidP="00FC203A">
      <w:pPr>
        <w:jc w:val="right"/>
        <w:rPr>
          <w:rFonts w:cs="Arial"/>
        </w:rPr>
      </w:pPr>
    </w:p>
    <w:p w:rsidR="00FC203A" w:rsidRDefault="00FC203A" w:rsidP="00FC203A">
      <w:pPr>
        <w:pStyle w:val="note"/>
        <w:spacing w:before="0" w:beforeAutospacing="0" w:after="0" w:afterAutospacing="0"/>
        <w:jc w:val="center"/>
        <w:rPr>
          <w:rFonts w:ascii="Arial" w:hAnsi="Arial" w:cs="Arial"/>
          <w:b/>
        </w:rPr>
      </w:pPr>
      <w:r>
        <w:rPr>
          <w:rFonts w:ascii="Arial" w:hAnsi="Arial" w:cs="Arial"/>
          <w:b/>
        </w:rPr>
        <w:t>Quelques</w:t>
      </w:r>
      <w:r w:rsidRPr="00FB4E46">
        <w:rPr>
          <w:rFonts w:ascii="Arial" w:hAnsi="Arial" w:cs="Arial"/>
          <w:b/>
        </w:rPr>
        <w:t xml:space="preserve"> indicateurs économiques en France et en Allemagne </w:t>
      </w:r>
    </w:p>
    <w:p w:rsidR="00FC203A" w:rsidRPr="000A2046" w:rsidRDefault="00FC203A" w:rsidP="00FC203A">
      <w:pPr>
        <w:pStyle w:val="note"/>
        <w:spacing w:before="0" w:beforeAutospacing="0" w:after="0" w:afterAutospacing="0"/>
        <w:jc w:val="center"/>
        <w:rPr>
          <w:rFonts w:ascii="Arial" w:hAnsi="Arial" w:cs="Arial"/>
          <w:b/>
        </w:rPr>
      </w:pPr>
      <w:proofErr w:type="gramStart"/>
      <w:r w:rsidRPr="00FB4E46">
        <w:rPr>
          <w:rFonts w:ascii="Arial" w:hAnsi="Arial" w:cs="Arial"/>
          <w:b/>
        </w:rPr>
        <w:t>pour</w:t>
      </w:r>
      <w:proofErr w:type="gramEnd"/>
      <w:r w:rsidRPr="00FB4E46">
        <w:rPr>
          <w:rFonts w:ascii="Arial" w:hAnsi="Arial" w:cs="Arial"/>
          <w:b/>
        </w:rPr>
        <w:t xml:space="preserve"> l’anné</w:t>
      </w:r>
      <w:r>
        <w:rPr>
          <w:rFonts w:ascii="Arial" w:hAnsi="Arial" w:cs="Arial"/>
          <w:b/>
        </w:rPr>
        <w:t xml:space="preserve">e </w:t>
      </w:r>
      <w:r w:rsidRPr="00FB4E46">
        <w:rPr>
          <w:rFonts w:ascii="Arial" w:hAnsi="Arial" w:cs="Arial"/>
          <w:b/>
        </w:rPr>
        <w:t>2016</w:t>
      </w:r>
    </w:p>
    <w:p w:rsidR="00FC203A" w:rsidRDefault="00FC203A" w:rsidP="00FC203A">
      <w:pPr>
        <w:rPr>
          <w:rFonts w:cs="Arial"/>
          <w:sz w:val="24"/>
          <w:szCs w:val="24"/>
        </w:rPr>
      </w:pPr>
    </w:p>
    <w:p w:rsidR="00FC203A" w:rsidRDefault="00FC203A" w:rsidP="00FC203A">
      <w:pPr>
        <w:jc w:val="center"/>
        <w:rPr>
          <w:rFonts w:cs="Arial"/>
          <w:sz w:val="24"/>
          <w:szCs w:val="24"/>
        </w:rPr>
      </w:pPr>
      <w:r w:rsidRPr="008705F0">
        <w:rPr>
          <w:rFonts w:cs="Arial"/>
          <w:noProof/>
          <w:sz w:val="24"/>
          <w:szCs w:val="24"/>
        </w:rPr>
        <w:drawing>
          <wp:inline distT="0" distB="0" distL="0" distR="0" wp14:anchorId="52A710AE" wp14:editId="6E37CE95">
            <wp:extent cx="5876925" cy="472971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77435" cy="4730127"/>
                    </a:xfrm>
                    <a:prstGeom prst="rect">
                      <a:avLst/>
                    </a:prstGeom>
                  </pic:spPr>
                </pic:pic>
              </a:graphicData>
            </a:graphic>
          </wp:inline>
        </w:drawing>
      </w:r>
    </w:p>
    <w:p w:rsidR="00FC203A" w:rsidRDefault="00FC203A" w:rsidP="00FC203A">
      <w:pPr>
        <w:jc w:val="right"/>
        <w:rPr>
          <w:rFonts w:cs="Arial"/>
          <w:sz w:val="24"/>
          <w:szCs w:val="24"/>
        </w:rPr>
      </w:pPr>
      <w:r w:rsidRPr="00725416">
        <w:rPr>
          <w:rFonts w:cs="Arial"/>
          <w:sz w:val="24"/>
          <w:szCs w:val="24"/>
        </w:rPr>
        <w:t>Source : Eurostat 2017.</w:t>
      </w:r>
    </w:p>
    <w:p w:rsidR="00FC203A" w:rsidRDefault="00FC203A" w:rsidP="00FC203A">
      <w:pPr>
        <w:rPr>
          <w:rFonts w:cs="Arial"/>
          <w:sz w:val="24"/>
          <w:szCs w:val="24"/>
        </w:rPr>
      </w:pPr>
    </w:p>
    <w:p w:rsidR="00FC203A" w:rsidRPr="00E7686C" w:rsidRDefault="00FC203A" w:rsidP="00FC203A">
      <w:pPr>
        <w:pStyle w:val="Sansinterligne"/>
        <w:rPr>
          <w:rFonts w:ascii="Arial" w:hAnsi="Arial" w:cs="Arial"/>
          <w:sz w:val="24"/>
          <w:szCs w:val="24"/>
        </w:rPr>
      </w:pPr>
      <w:r w:rsidRPr="00E7686C">
        <w:rPr>
          <w:rFonts w:ascii="Arial" w:hAnsi="Arial" w:cs="Arial"/>
          <w:sz w:val="24"/>
          <w:szCs w:val="24"/>
          <w:lang w:eastAsia="fr-FR"/>
        </w:rPr>
        <w:t>1</w:t>
      </w:r>
      <w:r>
        <w:rPr>
          <w:rFonts w:ascii="Arial" w:hAnsi="Arial" w:cs="Arial"/>
          <w:sz w:val="24"/>
          <w:szCs w:val="24"/>
          <w:lang w:eastAsia="fr-FR"/>
        </w:rPr>
        <w:t xml:space="preserve"> : </w:t>
      </w:r>
      <w:r w:rsidRPr="00E7686C">
        <w:rPr>
          <w:rFonts w:ascii="Arial" w:hAnsi="Arial" w:cs="Arial"/>
          <w:sz w:val="24"/>
          <w:szCs w:val="24"/>
        </w:rPr>
        <w:t>Rapport entre le nombre de chômeurs et le nombre d’actifs.</w:t>
      </w:r>
    </w:p>
    <w:p w:rsidR="00FC203A" w:rsidRPr="00E7686C" w:rsidRDefault="00FC203A" w:rsidP="00FC203A">
      <w:pPr>
        <w:pStyle w:val="Sansinterligne"/>
        <w:rPr>
          <w:rFonts w:ascii="Arial" w:hAnsi="Arial" w:cs="Arial"/>
          <w:sz w:val="24"/>
          <w:szCs w:val="24"/>
          <w:lang w:eastAsia="fr-FR"/>
        </w:rPr>
      </w:pPr>
      <w:r w:rsidRPr="00E7686C">
        <w:rPr>
          <w:rFonts w:ascii="Arial" w:hAnsi="Arial" w:cs="Arial"/>
          <w:sz w:val="24"/>
          <w:szCs w:val="24"/>
          <w:lang w:eastAsia="fr-FR"/>
        </w:rPr>
        <w:t>2</w:t>
      </w:r>
      <w:r>
        <w:rPr>
          <w:rFonts w:ascii="Arial" w:hAnsi="Arial" w:cs="Arial"/>
          <w:sz w:val="24"/>
          <w:szCs w:val="24"/>
          <w:lang w:eastAsia="fr-FR"/>
        </w:rPr>
        <w:t xml:space="preserve"> : </w:t>
      </w:r>
      <w:r w:rsidRPr="00E7686C">
        <w:rPr>
          <w:rFonts w:ascii="Arial" w:hAnsi="Arial" w:cs="Arial"/>
          <w:sz w:val="24"/>
          <w:szCs w:val="24"/>
          <w:lang w:eastAsia="fr-FR"/>
        </w:rPr>
        <w:t>Évolution du niveau général des prix en %.</w:t>
      </w:r>
    </w:p>
    <w:p w:rsidR="00FC203A" w:rsidRPr="00E7686C" w:rsidRDefault="00FC203A" w:rsidP="00FC203A">
      <w:pPr>
        <w:pStyle w:val="Sansinterligne"/>
        <w:rPr>
          <w:rFonts w:ascii="Arial" w:hAnsi="Arial" w:cs="Arial"/>
          <w:sz w:val="24"/>
          <w:szCs w:val="24"/>
          <w:lang w:eastAsia="fr-FR"/>
        </w:rPr>
      </w:pPr>
      <w:r w:rsidRPr="00E7686C">
        <w:rPr>
          <w:rFonts w:ascii="Arial" w:hAnsi="Arial" w:cs="Arial"/>
          <w:sz w:val="24"/>
          <w:szCs w:val="24"/>
          <w:lang w:eastAsia="fr-FR"/>
        </w:rPr>
        <w:t>3</w:t>
      </w:r>
      <w:r>
        <w:rPr>
          <w:rFonts w:ascii="Arial" w:hAnsi="Arial" w:cs="Arial"/>
          <w:sz w:val="24"/>
          <w:szCs w:val="24"/>
          <w:lang w:eastAsia="fr-FR"/>
        </w:rPr>
        <w:t xml:space="preserve"> : </w:t>
      </w:r>
      <w:r w:rsidRPr="00E7686C">
        <w:rPr>
          <w:rFonts w:ascii="Arial" w:hAnsi="Arial" w:cs="Arial"/>
          <w:sz w:val="24"/>
          <w:szCs w:val="24"/>
        </w:rPr>
        <w:t xml:space="preserve">Différence entre la valeur des exportations et celle </w:t>
      </w:r>
      <w:r>
        <w:rPr>
          <w:rFonts w:ascii="Arial" w:hAnsi="Arial" w:cs="Arial"/>
          <w:sz w:val="24"/>
          <w:szCs w:val="24"/>
        </w:rPr>
        <w:t>des importations.</w:t>
      </w:r>
    </w:p>
    <w:p w:rsidR="00FC203A" w:rsidRDefault="00FC203A"/>
    <w:sectPr w:rsidR="00FC2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3A"/>
    <w:rsid w:val="00583E41"/>
    <w:rsid w:val="00FC2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CECF"/>
  <w15:chartTrackingRefBased/>
  <w15:docId w15:val="{662C8B6F-FDA7-4522-9A55-A32D267D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03A"/>
    <w:pPr>
      <w:spacing w:after="0" w:line="240" w:lineRule="auto"/>
    </w:pPr>
    <w:rPr>
      <w:rFonts w:ascii="Arial" w:eastAsia="MS Mincho"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C203A"/>
    <w:rPr>
      <w:color w:val="0000FF"/>
      <w:u w:val="single"/>
    </w:rPr>
  </w:style>
  <w:style w:type="paragraph" w:customStyle="1" w:styleId="Default">
    <w:name w:val="Default"/>
    <w:rsid w:val="00FC203A"/>
    <w:pPr>
      <w:autoSpaceDE w:val="0"/>
      <w:autoSpaceDN w:val="0"/>
      <w:adjustRightInd w:val="0"/>
      <w:spacing w:after="0" w:line="240" w:lineRule="auto"/>
    </w:pPr>
    <w:rPr>
      <w:rFonts w:ascii="Arial" w:eastAsia="Calibri" w:hAnsi="Arial" w:cs="Arial"/>
      <w:color w:val="000000"/>
      <w:sz w:val="24"/>
      <w:szCs w:val="24"/>
    </w:rPr>
  </w:style>
  <w:style w:type="paragraph" w:styleId="Sansinterligne">
    <w:name w:val="No Spacing"/>
    <w:uiPriority w:val="1"/>
    <w:qFormat/>
    <w:rsid w:val="00FC203A"/>
    <w:pPr>
      <w:spacing w:after="0" w:line="240" w:lineRule="auto"/>
    </w:pPr>
  </w:style>
  <w:style w:type="paragraph" w:customStyle="1" w:styleId="note">
    <w:name w:val="note"/>
    <w:basedOn w:val="Normal"/>
    <w:rsid w:val="00FC203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vie-publ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dorlhiac</dc:creator>
  <cp:keywords/>
  <dc:description/>
  <cp:lastModifiedBy>emmanuel dorlhiac</cp:lastModifiedBy>
  <cp:revision>3</cp:revision>
  <dcterms:created xsi:type="dcterms:W3CDTF">2018-01-26T19:13:00Z</dcterms:created>
  <dcterms:modified xsi:type="dcterms:W3CDTF">2018-01-26T19:20:00Z</dcterms:modified>
</cp:coreProperties>
</file>