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20C" w:rsidRDefault="00A7120C" w:rsidP="00111967">
      <w:pPr>
        <w:jc w:val="right"/>
        <w:rPr>
          <w:rFonts w:cs="Arial"/>
          <w:b/>
          <w:sz w:val="24"/>
        </w:rPr>
      </w:pPr>
      <w:bookmarkStart w:id="0" w:name="_GoBack"/>
      <w:bookmarkEnd w:id="0"/>
      <w:r w:rsidRPr="001C2FE8">
        <w:rPr>
          <w:rFonts w:cs="Arial"/>
          <w:b/>
          <w:iCs/>
          <w:color w:val="000000"/>
          <w:sz w:val="24"/>
        </w:rPr>
        <w:t>Troisième p</w:t>
      </w:r>
      <w:r w:rsidRPr="001C2FE8">
        <w:rPr>
          <w:rFonts w:cs="Arial"/>
          <w:b/>
          <w:sz w:val="24"/>
        </w:rPr>
        <w:t>artie : Raisonnement s’appuyant sur un dossier documentaire</w:t>
      </w:r>
    </w:p>
    <w:p w:rsidR="00A7120C" w:rsidRPr="001C2FE8" w:rsidRDefault="00A7120C" w:rsidP="00A7120C">
      <w:pPr>
        <w:rPr>
          <w:rFonts w:cs="Arial"/>
          <w:b/>
          <w:sz w:val="24"/>
        </w:rPr>
      </w:pPr>
      <w:r w:rsidRPr="001C2FE8">
        <w:rPr>
          <w:rFonts w:cs="Arial"/>
          <w:b/>
          <w:i/>
          <w:sz w:val="24"/>
        </w:rPr>
        <w:t>(10 points)</w:t>
      </w:r>
    </w:p>
    <w:p w:rsidR="00A7120C" w:rsidRDefault="00A7120C" w:rsidP="00A7120C">
      <w:pPr>
        <w:jc w:val="center"/>
        <w:rPr>
          <w:rFonts w:cs="Arial"/>
          <w:i/>
          <w:sz w:val="24"/>
        </w:rPr>
      </w:pPr>
    </w:p>
    <w:p w:rsidR="00A7120C" w:rsidRPr="00713017" w:rsidRDefault="00A7120C" w:rsidP="00A7120C">
      <w:pPr>
        <w:jc w:val="center"/>
        <w:rPr>
          <w:rFonts w:cs="Arial"/>
          <w:i/>
          <w:sz w:val="24"/>
        </w:rPr>
      </w:pPr>
      <w:r w:rsidRPr="00713017">
        <w:rPr>
          <w:rFonts w:cs="Arial"/>
          <w:i/>
          <w:sz w:val="24"/>
        </w:rPr>
        <w:t xml:space="preserve">Cette partie comporte </w:t>
      </w:r>
      <w:r w:rsidR="00B379D8">
        <w:rPr>
          <w:rFonts w:cs="Arial"/>
          <w:i/>
          <w:sz w:val="24"/>
        </w:rPr>
        <w:t>trois</w:t>
      </w:r>
      <w:r w:rsidRPr="00713017">
        <w:rPr>
          <w:rFonts w:cs="Arial"/>
          <w:i/>
          <w:sz w:val="24"/>
        </w:rPr>
        <w:t xml:space="preserve"> documents</w:t>
      </w:r>
      <w:r>
        <w:rPr>
          <w:rFonts w:cs="Arial"/>
          <w:i/>
          <w:sz w:val="24"/>
        </w:rPr>
        <w:t>.</w:t>
      </w:r>
    </w:p>
    <w:p w:rsidR="00A7120C" w:rsidRPr="00713017" w:rsidRDefault="00A7120C" w:rsidP="00A7120C">
      <w:pPr>
        <w:jc w:val="center"/>
        <w:rPr>
          <w:rFonts w:cs="Arial"/>
          <w:b/>
          <w:i/>
          <w:sz w:val="24"/>
        </w:rPr>
      </w:pPr>
    </w:p>
    <w:p w:rsidR="00575728" w:rsidRPr="004A2CF7" w:rsidRDefault="00A7120C" w:rsidP="00015D61">
      <w:pPr>
        <w:jc w:val="both"/>
        <w:rPr>
          <w:rFonts w:cs="Arial"/>
          <w:b/>
          <w:sz w:val="24"/>
          <w:szCs w:val="24"/>
        </w:rPr>
      </w:pPr>
      <w:r>
        <w:rPr>
          <w:rFonts w:cs="Arial"/>
          <w:b/>
          <w:sz w:val="24"/>
        </w:rPr>
        <w:t xml:space="preserve">Sujet : </w:t>
      </w:r>
      <w:r w:rsidR="000B62BF" w:rsidRPr="000B62BF">
        <w:rPr>
          <w:rFonts w:cs="Arial"/>
          <w:b/>
          <w:sz w:val="24"/>
        </w:rPr>
        <w:t>À</w:t>
      </w:r>
      <w:r w:rsidR="0025399D" w:rsidRPr="000B62BF">
        <w:rPr>
          <w:rFonts w:cs="Arial"/>
          <w:b/>
          <w:sz w:val="24"/>
        </w:rPr>
        <w:t xml:space="preserve"> </w:t>
      </w:r>
      <w:r w:rsidR="0025399D">
        <w:rPr>
          <w:rFonts w:cs="Arial"/>
          <w:b/>
          <w:sz w:val="24"/>
        </w:rPr>
        <w:t>l’aide de vos connaissances et du dossier documentaire, v</w:t>
      </w:r>
      <w:r w:rsidR="0064315D">
        <w:rPr>
          <w:rFonts w:cs="Arial"/>
          <w:b/>
          <w:sz w:val="24"/>
        </w:rPr>
        <w:t xml:space="preserve">ous montrerez </w:t>
      </w:r>
      <w:r w:rsidR="0064315D" w:rsidRPr="004A2CF7">
        <w:rPr>
          <w:rFonts w:cs="Arial"/>
          <w:b/>
          <w:sz w:val="24"/>
          <w:szCs w:val="24"/>
        </w:rPr>
        <w:t xml:space="preserve">que </w:t>
      </w:r>
      <w:r w:rsidR="004A2CF7" w:rsidRPr="004A2CF7">
        <w:rPr>
          <w:rFonts w:cs="Arial"/>
          <w:b/>
          <w:sz w:val="24"/>
          <w:szCs w:val="24"/>
        </w:rPr>
        <w:t>les déséquilibres macroéconomiques sont liés à l’évolution de la demande globale</w:t>
      </w:r>
      <w:r w:rsidR="00015D61">
        <w:rPr>
          <w:rFonts w:cs="Arial"/>
          <w:b/>
          <w:sz w:val="24"/>
          <w:szCs w:val="24"/>
        </w:rPr>
        <w:t>.</w:t>
      </w:r>
    </w:p>
    <w:p w:rsidR="00575728" w:rsidRDefault="00575728" w:rsidP="005C622D">
      <w:pPr>
        <w:rPr>
          <w:rFonts w:cs="Arial"/>
          <w:b/>
          <w:sz w:val="24"/>
          <w:szCs w:val="24"/>
        </w:rPr>
      </w:pPr>
    </w:p>
    <w:p w:rsidR="005C622D" w:rsidRDefault="005C622D" w:rsidP="005C622D">
      <w:pPr>
        <w:rPr>
          <w:rFonts w:cs="Arial"/>
          <w:b/>
          <w:sz w:val="24"/>
          <w:szCs w:val="24"/>
        </w:rPr>
      </w:pPr>
      <w:r w:rsidRPr="002263ED">
        <w:rPr>
          <w:rFonts w:cs="Arial"/>
          <w:b/>
          <w:sz w:val="24"/>
          <w:szCs w:val="24"/>
        </w:rPr>
        <w:t xml:space="preserve">DOCUMENT </w:t>
      </w:r>
      <w:r>
        <w:rPr>
          <w:rFonts w:cs="Arial"/>
          <w:b/>
          <w:sz w:val="24"/>
          <w:szCs w:val="24"/>
        </w:rPr>
        <w:t>1</w:t>
      </w:r>
    </w:p>
    <w:p w:rsidR="005C622D" w:rsidRPr="0009387D" w:rsidRDefault="005C622D" w:rsidP="005C622D">
      <w:pPr>
        <w:rPr>
          <w:rFonts w:cs="Arial"/>
          <w:b/>
          <w:sz w:val="24"/>
          <w:szCs w:val="24"/>
        </w:rPr>
      </w:pPr>
    </w:p>
    <w:p w:rsidR="00F11726" w:rsidRDefault="00F11726" w:rsidP="00F11726">
      <w:pPr>
        <w:contextualSpacing/>
        <w:jc w:val="center"/>
        <w:rPr>
          <w:rFonts w:cs="Arial"/>
          <w:b/>
          <w:sz w:val="24"/>
        </w:rPr>
      </w:pPr>
      <w:r>
        <w:rPr>
          <w:rFonts w:cs="Arial"/>
          <w:b/>
          <w:sz w:val="24"/>
        </w:rPr>
        <w:t>Variations annuelles (en %) de la demande intérieure*</w:t>
      </w:r>
    </w:p>
    <w:p w:rsidR="00F11726" w:rsidRDefault="00F11726" w:rsidP="00F11726">
      <w:pPr>
        <w:contextualSpacing/>
        <w:jc w:val="center"/>
        <w:rPr>
          <w:rFonts w:cs="Arial"/>
          <w:b/>
          <w:sz w:val="24"/>
        </w:rPr>
      </w:pPr>
      <w:proofErr w:type="gramStart"/>
      <w:r>
        <w:rPr>
          <w:rFonts w:cs="Arial"/>
          <w:b/>
          <w:sz w:val="24"/>
        </w:rPr>
        <w:t>et</w:t>
      </w:r>
      <w:proofErr w:type="gramEnd"/>
      <w:r>
        <w:rPr>
          <w:rFonts w:cs="Arial"/>
          <w:b/>
          <w:sz w:val="24"/>
        </w:rPr>
        <w:t xml:space="preserve"> du nombre de personnes en emploi en </w:t>
      </w:r>
      <w:r w:rsidR="00757BAB">
        <w:rPr>
          <w:rFonts w:cs="Arial"/>
          <w:b/>
          <w:sz w:val="24"/>
        </w:rPr>
        <w:t>France</w:t>
      </w:r>
    </w:p>
    <w:p w:rsidR="00757BAB" w:rsidRDefault="00757BAB" w:rsidP="00F11726">
      <w:pPr>
        <w:contextualSpacing/>
        <w:jc w:val="center"/>
        <w:rPr>
          <w:rFonts w:cs="Arial"/>
          <w:b/>
          <w:sz w:val="24"/>
        </w:rPr>
      </w:pPr>
    </w:p>
    <w:p w:rsidR="00F11726" w:rsidRPr="00577C05" w:rsidRDefault="00F11726" w:rsidP="00F11726">
      <w:pPr>
        <w:contextualSpacing/>
        <w:jc w:val="both"/>
        <w:rPr>
          <w:rFonts w:cs="Arial"/>
          <w:sz w:val="24"/>
        </w:rPr>
      </w:pPr>
      <w:r>
        <w:rPr>
          <w:rFonts w:cs="Arial"/>
          <w:noProof/>
          <w:sz w:val="24"/>
        </w:rPr>
        <w:drawing>
          <wp:inline distT="0" distB="0" distL="0" distR="0" wp14:anchorId="6EF7E335" wp14:editId="36D46D54">
            <wp:extent cx="5486400" cy="32004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7BAB" w:rsidRPr="00A75E6C" w:rsidRDefault="00757BAB" w:rsidP="00F11726">
      <w:pPr>
        <w:contextualSpacing/>
        <w:jc w:val="right"/>
        <w:rPr>
          <w:rFonts w:cs="Arial"/>
          <w:sz w:val="22"/>
          <w:szCs w:val="22"/>
        </w:rPr>
      </w:pPr>
    </w:p>
    <w:p w:rsidR="00F11726" w:rsidRPr="00A75E6C" w:rsidRDefault="00F11726" w:rsidP="00F11726">
      <w:pPr>
        <w:contextualSpacing/>
        <w:jc w:val="right"/>
        <w:rPr>
          <w:rFonts w:cs="Arial"/>
          <w:sz w:val="22"/>
          <w:szCs w:val="22"/>
        </w:rPr>
      </w:pPr>
      <w:r w:rsidRPr="00A75E6C">
        <w:rPr>
          <w:rFonts w:cs="Arial"/>
          <w:sz w:val="22"/>
          <w:szCs w:val="22"/>
        </w:rPr>
        <w:t>Source : INSEE, 2016.</w:t>
      </w:r>
    </w:p>
    <w:p w:rsidR="00757BAB" w:rsidRPr="00A75E6C" w:rsidRDefault="00757BAB" w:rsidP="00F11726">
      <w:pPr>
        <w:contextualSpacing/>
        <w:jc w:val="right"/>
        <w:rPr>
          <w:rFonts w:cs="Arial"/>
          <w:sz w:val="22"/>
          <w:szCs w:val="22"/>
        </w:rPr>
      </w:pPr>
    </w:p>
    <w:p w:rsidR="00F11726" w:rsidRPr="00A75E6C" w:rsidRDefault="00F11726" w:rsidP="00F11726">
      <w:pPr>
        <w:rPr>
          <w:rFonts w:cs="Arial"/>
          <w:sz w:val="22"/>
          <w:szCs w:val="22"/>
        </w:rPr>
      </w:pPr>
      <w:r w:rsidRPr="00A75E6C">
        <w:rPr>
          <w:rFonts w:cs="Arial"/>
          <w:sz w:val="22"/>
          <w:szCs w:val="22"/>
        </w:rPr>
        <w:t>Champ : France métropolitaine</w:t>
      </w:r>
      <w:r w:rsidR="00A75E6C">
        <w:rPr>
          <w:rFonts w:cs="Arial"/>
          <w:sz w:val="22"/>
          <w:szCs w:val="22"/>
        </w:rPr>
        <w:t>.</w:t>
      </w:r>
    </w:p>
    <w:p w:rsidR="00757BAB" w:rsidRPr="00A75E6C" w:rsidRDefault="00757BAB" w:rsidP="00F11726">
      <w:pPr>
        <w:rPr>
          <w:rFonts w:cs="Arial"/>
          <w:sz w:val="22"/>
          <w:szCs w:val="22"/>
        </w:rPr>
      </w:pPr>
    </w:p>
    <w:p w:rsidR="00F11726" w:rsidRPr="00A75E6C" w:rsidRDefault="00757BAB" w:rsidP="00757BAB">
      <w:pPr>
        <w:rPr>
          <w:rFonts w:cs="Arial"/>
          <w:sz w:val="22"/>
          <w:szCs w:val="22"/>
        </w:rPr>
      </w:pPr>
      <w:r w:rsidRPr="00A75E6C">
        <w:rPr>
          <w:rFonts w:cs="Arial"/>
          <w:sz w:val="22"/>
          <w:szCs w:val="22"/>
        </w:rPr>
        <w:t xml:space="preserve">* </w:t>
      </w:r>
      <w:r w:rsidR="00F11726" w:rsidRPr="00A75E6C">
        <w:rPr>
          <w:rFonts w:cs="Arial"/>
          <w:sz w:val="22"/>
          <w:szCs w:val="22"/>
        </w:rPr>
        <w:t>Somme de la consommation et de l’investissement</w:t>
      </w:r>
      <w:r w:rsidRPr="00A75E6C">
        <w:rPr>
          <w:rFonts w:cs="Arial"/>
          <w:sz w:val="22"/>
          <w:szCs w:val="22"/>
        </w:rPr>
        <w:t>.</w:t>
      </w:r>
    </w:p>
    <w:p w:rsidR="00757BAB" w:rsidRDefault="00757BAB" w:rsidP="00A7120C">
      <w:pPr>
        <w:rPr>
          <w:rFonts w:cs="Arial"/>
          <w:b/>
          <w:sz w:val="24"/>
        </w:rPr>
      </w:pPr>
    </w:p>
    <w:p w:rsidR="00757BAB" w:rsidRDefault="00757BAB">
      <w:pPr>
        <w:rPr>
          <w:rFonts w:cs="Arial"/>
          <w:b/>
          <w:sz w:val="24"/>
        </w:rPr>
      </w:pPr>
      <w:r>
        <w:rPr>
          <w:rFonts w:cs="Arial"/>
          <w:b/>
          <w:sz w:val="24"/>
        </w:rPr>
        <w:br w:type="page"/>
      </w:r>
    </w:p>
    <w:p w:rsidR="00A7120C" w:rsidRDefault="005C622D" w:rsidP="00A7120C">
      <w:pPr>
        <w:rPr>
          <w:rFonts w:cs="Arial"/>
          <w:b/>
          <w:sz w:val="24"/>
        </w:rPr>
      </w:pPr>
      <w:r>
        <w:rPr>
          <w:rFonts w:cs="Arial"/>
          <w:b/>
          <w:sz w:val="24"/>
        </w:rPr>
        <w:lastRenderedPageBreak/>
        <w:t xml:space="preserve">DOCUMENT </w:t>
      </w:r>
      <w:r w:rsidR="0009387D">
        <w:rPr>
          <w:rFonts w:cs="Arial"/>
          <w:b/>
          <w:sz w:val="24"/>
        </w:rPr>
        <w:t>2</w:t>
      </w:r>
    </w:p>
    <w:p w:rsidR="00757BAB" w:rsidRDefault="00757BAB" w:rsidP="004A2CF7">
      <w:pPr>
        <w:autoSpaceDE w:val="0"/>
        <w:autoSpaceDN w:val="0"/>
        <w:adjustRightInd w:val="0"/>
        <w:jc w:val="both"/>
        <w:rPr>
          <w:rFonts w:cs="Arial"/>
          <w:sz w:val="24"/>
          <w:szCs w:val="24"/>
        </w:rPr>
      </w:pPr>
    </w:p>
    <w:p w:rsidR="004A2CF7" w:rsidRPr="002A3599" w:rsidRDefault="004A2CF7" w:rsidP="004A2CF7">
      <w:pPr>
        <w:autoSpaceDE w:val="0"/>
        <w:autoSpaceDN w:val="0"/>
        <w:adjustRightInd w:val="0"/>
        <w:jc w:val="both"/>
        <w:rPr>
          <w:rFonts w:cs="Arial"/>
          <w:sz w:val="24"/>
          <w:szCs w:val="24"/>
        </w:rPr>
      </w:pPr>
      <w:r w:rsidRPr="002A3599">
        <w:rPr>
          <w:rFonts w:cs="Arial"/>
          <w:sz w:val="24"/>
          <w:szCs w:val="24"/>
        </w:rPr>
        <w:t xml:space="preserve">Le dynamisme du pouvoir d’achat des ménages, observé en 2016 dans le sillage de la baisse du prix du pétrole, s’atténuerait </w:t>
      </w:r>
      <w:r w:rsidR="002A3599" w:rsidRPr="002A3599">
        <w:rPr>
          <w:rFonts w:cs="Arial"/>
          <w:sz w:val="24"/>
          <w:szCs w:val="24"/>
        </w:rPr>
        <w:t>[...]</w:t>
      </w:r>
      <w:r w:rsidRPr="002A3599">
        <w:rPr>
          <w:rFonts w:cs="Arial"/>
          <w:sz w:val="24"/>
          <w:szCs w:val="24"/>
        </w:rPr>
        <w:t>. La consommation des ménages ralentirait donc un peu, en particulier en 2017.</w:t>
      </w:r>
    </w:p>
    <w:p w:rsidR="002A3599" w:rsidRPr="002A3599" w:rsidRDefault="004A2CF7" w:rsidP="002A3599">
      <w:pPr>
        <w:autoSpaceDE w:val="0"/>
        <w:autoSpaceDN w:val="0"/>
        <w:adjustRightInd w:val="0"/>
        <w:jc w:val="both"/>
        <w:rPr>
          <w:rFonts w:cs="Arial"/>
          <w:sz w:val="24"/>
          <w:szCs w:val="24"/>
        </w:rPr>
      </w:pPr>
      <w:r w:rsidRPr="002A3599">
        <w:rPr>
          <w:rFonts w:cs="Arial"/>
          <w:sz w:val="24"/>
          <w:szCs w:val="24"/>
        </w:rPr>
        <w:t>L’investissement des entreprises continuerait d’être soutenu par la progression de l’activité économique et le bas niveau des taux d’intérêt, malgré un taux d’endettement élevé. […] L’investissement des ménages continuerait de bénéficier de facteurs temporaires en 2017 (</w:t>
      </w:r>
      <w:r w:rsidR="002A3599" w:rsidRPr="002A3599">
        <w:rPr>
          <w:rFonts w:cs="Arial"/>
          <w:sz w:val="24"/>
          <w:szCs w:val="24"/>
        </w:rPr>
        <w:t>[…]</w:t>
      </w:r>
      <w:r w:rsidRPr="002A3599">
        <w:rPr>
          <w:rFonts w:cs="Arial"/>
          <w:sz w:val="24"/>
          <w:szCs w:val="24"/>
        </w:rPr>
        <w:t xml:space="preserve"> taux de crédit peu élevés). </w:t>
      </w:r>
    </w:p>
    <w:p w:rsidR="004A2CF7" w:rsidRPr="002A3599" w:rsidRDefault="004A2CF7" w:rsidP="004A2CF7">
      <w:pPr>
        <w:autoSpaceDE w:val="0"/>
        <w:autoSpaceDN w:val="0"/>
        <w:adjustRightInd w:val="0"/>
        <w:jc w:val="both"/>
        <w:rPr>
          <w:rFonts w:cs="Arial"/>
          <w:sz w:val="24"/>
          <w:szCs w:val="24"/>
        </w:rPr>
      </w:pPr>
      <w:r w:rsidRPr="002A3599">
        <w:rPr>
          <w:rFonts w:cs="Arial"/>
          <w:sz w:val="24"/>
          <w:szCs w:val="24"/>
        </w:rPr>
        <w:t xml:space="preserve">[…] L’inflation, mesurée avec l’indice des prix à la consommation harmonisé (IPCH), se redresserait : après 0,3 % en 2016, elle augmenterait en moyenne annuelle à </w:t>
      </w:r>
      <w:r w:rsidR="00B63007">
        <w:rPr>
          <w:rFonts w:cs="Arial"/>
          <w:sz w:val="24"/>
          <w:szCs w:val="24"/>
        </w:rPr>
        <w:t xml:space="preserve">   </w:t>
      </w:r>
      <w:r w:rsidRPr="002A3599">
        <w:rPr>
          <w:rFonts w:cs="Arial"/>
          <w:sz w:val="24"/>
          <w:szCs w:val="24"/>
        </w:rPr>
        <w:t xml:space="preserve">1,2 % en 2017, tirée à la hausse par sa composante énergétique. […] </w:t>
      </w:r>
      <w:r w:rsidR="00757BAB">
        <w:rPr>
          <w:rFonts w:cs="Arial"/>
          <w:sz w:val="24"/>
          <w:szCs w:val="24"/>
        </w:rPr>
        <w:t>L</w:t>
      </w:r>
      <w:r w:rsidRPr="002A3599">
        <w:rPr>
          <w:rFonts w:cs="Arial"/>
          <w:sz w:val="24"/>
          <w:szCs w:val="24"/>
        </w:rPr>
        <w:t>’inflation hors produits alimentaires et énergie […] remonterait à partir de 2018, sous l’effet notamment de la baisse du taux de chômage et de la remontée des prix d’importations hors énergie. […]</w:t>
      </w:r>
    </w:p>
    <w:p w:rsidR="004A2CF7" w:rsidRPr="002A3599" w:rsidRDefault="004A2CF7" w:rsidP="004A2CF7">
      <w:pPr>
        <w:autoSpaceDE w:val="0"/>
        <w:autoSpaceDN w:val="0"/>
        <w:adjustRightInd w:val="0"/>
        <w:jc w:val="both"/>
        <w:rPr>
          <w:rFonts w:cs="Arial"/>
          <w:sz w:val="24"/>
          <w:szCs w:val="24"/>
        </w:rPr>
      </w:pPr>
      <w:r w:rsidRPr="002A3599">
        <w:rPr>
          <w:rFonts w:cs="Arial"/>
          <w:sz w:val="24"/>
          <w:szCs w:val="24"/>
        </w:rPr>
        <w:t>L’inflation se redresserait assez nettement, mais avec des à</w:t>
      </w:r>
      <w:r w:rsidR="00D82F9D" w:rsidRPr="002A3599">
        <w:rPr>
          <w:rFonts w:cs="Arial"/>
          <w:sz w:val="24"/>
          <w:szCs w:val="24"/>
        </w:rPr>
        <w:t>-</w:t>
      </w:r>
      <w:r w:rsidRPr="002A3599">
        <w:rPr>
          <w:rFonts w:cs="Arial"/>
          <w:sz w:val="24"/>
          <w:szCs w:val="24"/>
        </w:rPr>
        <w:t>coups, pour atteindre 1,4 % en 2019</w:t>
      </w:r>
      <w:r w:rsidR="000B62BF">
        <w:rPr>
          <w:rFonts w:cs="Arial"/>
          <w:sz w:val="24"/>
          <w:szCs w:val="24"/>
        </w:rPr>
        <w:t>.</w:t>
      </w:r>
    </w:p>
    <w:p w:rsidR="00757BAB" w:rsidRPr="00757BAB" w:rsidRDefault="00757BAB" w:rsidP="004A2CF7">
      <w:pPr>
        <w:jc w:val="right"/>
        <w:rPr>
          <w:rFonts w:cs="Arial"/>
          <w:sz w:val="22"/>
          <w:szCs w:val="22"/>
        </w:rPr>
      </w:pPr>
    </w:p>
    <w:p w:rsidR="00B63007" w:rsidRDefault="004A2CF7" w:rsidP="004A2CF7">
      <w:pPr>
        <w:jc w:val="right"/>
        <w:rPr>
          <w:rFonts w:cs="Arial"/>
          <w:sz w:val="22"/>
          <w:szCs w:val="22"/>
        </w:rPr>
      </w:pPr>
      <w:r w:rsidRPr="00757BAB">
        <w:rPr>
          <w:rFonts w:cs="Arial"/>
          <w:sz w:val="22"/>
          <w:szCs w:val="22"/>
        </w:rPr>
        <w:t xml:space="preserve">Source : </w:t>
      </w:r>
      <w:r w:rsidR="00757BAB">
        <w:rPr>
          <w:rFonts w:cs="Arial"/>
          <w:sz w:val="22"/>
          <w:szCs w:val="22"/>
        </w:rPr>
        <w:t>« </w:t>
      </w:r>
      <w:r w:rsidRPr="00757BAB">
        <w:rPr>
          <w:rFonts w:cs="Arial"/>
          <w:sz w:val="22"/>
          <w:szCs w:val="22"/>
        </w:rPr>
        <w:t xml:space="preserve">Projections macroéconomiques </w:t>
      </w:r>
      <w:r w:rsidR="00757BAB">
        <w:rPr>
          <w:rFonts w:cs="Arial"/>
          <w:sz w:val="22"/>
          <w:szCs w:val="22"/>
        </w:rPr>
        <w:t>– France »</w:t>
      </w:r>
      <w:r w:rsidRPr="00757BAB">
        <w:rPr>
          <w:rFonts w:cs="Arial"/>
          <w:sz w:val="22"/>
          <w:szCs w:val="22"/>
        </w:rPr>
        <w:t xml:space="preserve">, </w:t>
      </w:r>
    </w:p>
    <w:p w:rsidR="004A2CF7" w:rsidRPr="00757BAB" w:rsidRDefault="004A2CF7" w:rsidP="004A2CF7">
      <w:pPr>
        <w:jc w:val="right"/>
        <w:rPr>
          <w:rFonts w:cs="Arial"/>
          <w:sz w:val="22"/>
          <w:szCs w:val="22"/>
        </w:rPr>
      </w:pPr>
      <w:r w:rsidRPr="00757BAB">
        <w:rPr>
          <w:rFonts w:cs="Arial"/>
          <w:i/>
          <w:sz w:val="22"/>
          <w:szCs w:val="22"/>
        </w:rPr>
        <w:t>Synthèse</w:t>
      </w:r>
      <w:r w:rsidR="00B63007">
        <w:rPr>
          <w:rFonts w:cs="Arial"/>
          <w:i/>
          <w:sz w:val="22"/>
          <w:szCs w:val="22"/>
        </w:rPr>
        <w:t xml:space="preserve">, </w:t>
      </w:r>
      <w:r w:rsidRPr="00757BAB">
        <w:rPr>
          <w:rFonts w:cs="Arial"/>
          <w:sz w:val="22"/>
          <w:szCs w:val="22"/>
        </w:rPr>
        <w:t xml:space="preserve">Banque de </w:t>
      </w:r>
      <w:r w:rsidR="00B63007">
        <w:rPr>
          <w:rFonts w:cs="Arial"/>
          <w:sz w:val="22"/>
          <w:szCs w:val="22"/>
        </w:rPr>
        <w:t>France, juin 2017</w:t>
      </w:r>
      <w:r w:rsidRPr="00757BAB">
        <w:rPr>
          <w:rFonts w:cs="Arial"/>
          <w:sz w:val="22"/>
          <w:szCs w:val="22"/>
        </w:rPr>
        <w:t>.</w:t>
      </w:r>
    </w:p>
    <w:p w:rsidR="000B62BF" w:rsidRPr="00757BAB" w:rsidRDefault="000B62BF" w:rsidP="0009387D">
      <w:pPr>
        <w:rPr>
          <w:rFonts w:cs="Arial"/>
          <w:b/>
          <w:sz w:val="22"/>
          <w:szCs w:val="22"/>
        </w:rPr>
      </w:pPr>
    </w:p>
    <w:p w:rsidR="00B63007" w:rsidRDefault="00B63007">
      <w:pPr>
        <w:rPr>
          <w:rFonts w:cs="Arial"/>
          <w:b/>
          <w:sz w:val="24"/>
          <w:szCs w:val="24"/>
        </w:rPr>
      </w:pPr>
      <w:r>
        <w:rPr>
          <w:rFonts w:cs="Arial"/>
          <w:b/>
          <w:sz w:val="24"/>
          <w:szCs w:val="24"/>
        </w:rPr>
        <w:br w:type="page"/>
      </w:r>
    </w:p>
    <w:p w:rsidR="0009387D" w:rsidRDefault="0009387D" w:rsidP="0009387D">
      <w:pPr>
        <w:rPr>
          <w:rFonts w:cs="Arial"/>
          <w:b/>
          <w:sz w:val="24"/>
          <w:szCs w:val="24"/>
        </w:rPr>
      </w:pPr>
      <w:r w:rsidRPr="00412EC4">
        <w:rPr>
          <w:rFonts w:cs="Arial"/>
          <w:b/>
          <w:sz w:val="24"/>
          <w:szCs w:val="24"/>
        </w:rPr>
        <w:lastRenderedPageBreak/>
        <w:t>DOCUMENT 3</w:t>
      </w:r>
    </w:p>
    <w:p w:rsidR="00757BAB" w:rsidRPr="00412EC4" w:rsidRDefault="00757BAB" w:rsidP="0009387D">
      <w:pPr>
        <w:rPr>
          <w:rFonts w:cs="Arial"/>
          <w:b/>
          <w:sz w:val="24"/>
          <w:szCs w:val="24"/>
        </w:rPr>
      </w:pPr>
    </w:p>
    <w:p w:rsidR="00D82F9D" w:rsidRPr="00D82F9D" w:rsidRDefault="00D82F9D" w:rsidP="00D82F9D">
      <w:pPr>
        <w:pStyle w:val="Default"/>
        <w:jc w:val="both"/>
      </w:pPr>
      <w:r w:rsidRPr="00D82F9D">
        <w:t>Selon les prévisions</w:t>
      </w:r>
      <w:r>
        <w:t>,</w:t>
      </w:r>
      <w:r w:rsidRPr="00D82F9D">
        <w:t xml:space="preserve">  […] </w:t>
      </w:r>
      <w:r w:rsidRPr="00D82F9D">
        <w:rPr>
          <w:bCs/>
        </w:rPr>
        <w:t>le solde commercial de la France pourrait légère</w:t>
      </w:r>
      <w:r w:rsidR="00C611D6">
        <w:rPr>
          <w:bCs/>
        </w:rPr>
        <w:t>ment se dégrader en 2016, à 50 milliards d’euros</w:t>
      </w:r>
      <w:r w:rsidRPr="00D82F9D">
        <w:rPr>
          <w:bCs/>
        </w:rPr>
        <w:t xml:space="preserve"> environ</w:t>
      </w:r>
      <w:r w:rsidR="001A33DB">
        <w:rPr>
          <w:bCs/>
        </w:rPr>
        <w:t xml:space="preserve"> [de déficit]</w:t>
      </w:r>
      <w:r w:rsidRPr="00D82F9D">
        <w:t xml:space="preserve">. […] </w:t>
      </w:r>
      <w:r w:rsidRPr="00D82F9D">
        <w:rPr>
          <w:bCs/>
        </w:rPr>
        <w:t>En 2016, les échanges commerciaux de la France sont pénalisés par le ralentissement du commerce mondial, qui évolue désormais moins vite que la croissance mondiale</w:t>
      </w:r>
      <w:r w:rsidRPr="00D82F9D">
        <w:t>. […]</w:t>
      </w:r>
    </w:p>
    <w:p w:rsidR="00D82F9D" w:rsidRPr="00D82F9D" w:rsidRDefault="00014380" w:rsidP="00D82F9D">
      <w:pPr>
        <w:pStyle w:val="Default"/>
        <w:jc w:val="both"/>
      </w:pPr>
      <w:r>
        <w:t>[L’augmentation du déficit commercial]</w:t>
      </w:r>
      <w:r w:rsidR="00D82F9D" w:rsidRPr="00D82F9D">
        <w:t xml:space="preserve"> est due à un ralentissement de la croissance du commerce dans les grands pays émergents (Chine et Brésil principalement), mais aussi en Amérique du Nord, où la demande a connu un important fléchissement en 2016. </w:t>
      </w:r>
    </w:p>
    <w:p w:rsidR="00D82F9D" w:rsidRPr="00D82F9D" w:rsidRDefault="00D82F9D" w:rsidP="00D82F9D">
      <w:pPr>
        <w:pStyle w:val="Default"/>
        <w:jc w:val="both"/>
      </w:pPr>
      <w:r w:rsidRPr="00D82F9D">
        <w:rPr>
          <w:bCs/>
        </w:rPr>
        <w:t xml:space="preserve">[…] Le poids des pays hors </w:t>
      </w:r>
      <w:r w:rsidR="000B62BF">
        <w:rPr>
          <w:bCs/>
        </w:rPr>
        <w:t xml:space="preserve">Union </w:t>
      </w:r>
      <w:r w:rsidR="00757BAB">
        <w:rPr>
          <w:bCs/>
        </w:rPr>
        <w:t>e</w:t>
      </w:r>
      <w:r w:rsidR="000B62BF">
        <w:rPr>
          <w:bCs/>
        </w:rPr>
        <w:t>uropéenne</w:t>
      </w:r>
      <w:r w:rsidRPr="00D82F9D">
        <w:rPr>
          <w:bCs/>
        </w:rPr>
        <w:t xml:space="preserve"> dans notre commerce extérieur progresse sur longue période : il atteint aujourd’hui 41</w:t>
      </w:r>
      <w:r w:rsidR="00B63007">
        <w:rPr>
          <w:bCs/>
        </w:rPr>
        <w:t xml:space="preserve"> </w:t>
      </w:r>
      <w:r w:rsidRPr="00D82F9D">
        <w:rPr>
          <w:bCs/>
        </w:rPr>
        <w:t>% contre 33</w:t>
      </w:r>
      <w:r w:rsidR="00B63007">
        <w:rPr>
          <w:bCs/>
        </w:rPr>
        <w:t xml:space="preserve"> </w:t>
      </w:r>
      <w:r w:rsidRPr="00D82F9D">
        <w:rPr>
          <w:bCs/>
        </w:rPr>
        <w:t xml:space="preserve">% il y a 10 ans. </w:t>
      </w:r>
      <w:r w:rsidRPr="00D82F9D">
        <w:t xml:space="preserve">Parmi ces États figurent notamment des économies émergentes à forte croissance, en particulier en Asie, dont la place dans le commerce mondial progresse. Leurs consommateurs, notamment des classes moyennes en fort développement, sont source d’une demande croissante adressée aux pays exportateurs. </w:t>
      </w:r>
    </w:p>
    <w:p w:rsidR="00D82F9D" w:rsidRPr="00D82F9D" w:rsidRDefault="00D82F9D" w:rsidP="00D82F9D">
      <w:pPr>
        <w:pStyle w:val="Default"/>
        <w:jc w:val="both"/>
      </w:pPr>
      <w:r w:rsidRPr="00D82F9D">
        <w:rPr>
          <w:bCs/>
        </w:rPr>
        <w:t xml:space="preserve">C’est le dynamisme des échanges avec ces pays non-européens qui a porté la croissance des exportations françaises au cours de la période récente. </w:t>
      </w:r>
      <w:r w:rsidRPr="00D82F9D">
        <w:t>Les échanges avec l’Asie ont été particulièrement dynamiques sur les 10 dernières années : les exportations françaises vers la zone se sont accrues de 84,4</w:t>
      </w:r>
      <w:r w:rsidR="00B63007">
        <w:t xml:space="preserve"> </w:t>
      </w:r>
      <w:r w:rsidRPr="00D82F9D">
        <w:t>%, tirées par la croissance des ventes vers la Chine (+13,4</w:t>
      </w:r>
      <w:r w:rsidR="00B63007">
        <w:t xml:space="preserve"> </w:t>
      </w:r>
      <w:r w:rsidRPr="00D82F9D">
        <w:t>% par an en moyenne) et les pays de l’ASEAN</w:t>
      </w:r>
      <w:r w:rsidR="000B62BF">
        <w:t>*</w:t>
      </w:r>
      <w:r w:rsidRPr="00D82F9D">
        <w:t xml:space="preserve"> (+7,3</w:t>
      </w:r>
      <w:r w:rsidR="00B63007">
        <w:t xml:space="preserve"> </w:t>
      </w:r>
      <w:r w:rsidRPr="00D82F9D">
        <w:t>%). Les ventes vers l’Amérique (+4,1</w:t>
      </w:r>
      <w:r w:rsidR="00B63007">
        <w:t xml:space="preserve"> </w:t>
      </w:r>
      <w:r w:rsidRPr="00D82F9D">
        <w:t>%) ont</w:t>
      </w:r>
      <w:r w:rsidR="002A3599">
        <w:t xml:space="preserve"> </w:t>
      </w:r>
      <w:r w:rsidRPr="00D82F9D">
        <w:t>également progressé à un rythme soutenu, confortant leur rang de 2</w:t>
      </w:r>
      <w:r w:rsidRPr="00D82D24">
        <w:rPr>
          <w:vertAlign w:val="superscript"/>
        </w:rPr>
        <w:t>e</w:t>
      </w:r>
      <w:r w:rsidRPr="00D82F9D">
        <w:t xml:space="preserve"> zone cliente la plus importante hors UE (premier rang occupé par l’Asie depuis 2007). Les exportations vers les autres zones géographiques se sont aussi accrues, notamment vers le Proche et </w:t>
      </w:r>
      <w:r w:rsidR="00B63007">
        <w:t xml:space="preserve">      </w:t>
      </w:r>
      <w:r w:rsidRPr="00D82F9D">
        <w:t>Moyen-Orient (+4,5</w:t>
      </w:r>
      <w:r w:rsidR="00B63007">
        <w:t xml:space="preserve"> </w:t>
      </w:r>
      <w:r w:rsidRPr="00D82F9D">
        <w:t>%) et l’Afrique (+3,9</w:t>
      </w:r>
      <w:r w:rsidR="00B63007">
        <w:t xml:space="preserve"> </w:t>
      </w:r>
      <w:r w:rsidRPr="00D82F9D">
        <w:t>% en moyenne annuelle), ainsi qu’en direction de l’Europe hors UE (+3,5</w:t>
      </w:r>
      <w:r w:rsidR="00B63007">
        <w:t xml:space="preserve"> </w:t>
      </w:r>
      <w:r w:rsidRPr="00D82F9D">
        <w:t xml:space="preserve">% ; Suisse, Russie et Norvège notamment). </w:t>
      </w:r>
    </w:p>
    <w:p w:rsidR="00757BAB" w:rsidRDefault="00757BAB" w:rsidP="00D82F9D">
      <w:pPr>
        <w:jc w:val="right"/>
        <w:rPr>
          <w:rFonts w:cs="Arial"/>
        </w:rPr>
      </w:pPr>
    </w:p>
    <w:p w:rsidR="00B63007" w:rsidRDefault="00D82F9D" w:rsidP="00D82F9D">
      <w:pPr>
        <w:jc w:val="right"/>
        <w:rPr>
          <w:rFonts w:cs="Arial"/>
          <w:sz w:val="22"/>
          <w:szCs w:val="22"/>
        </w:rPr>
      </w:pPr>
      <w:r w:rsidRPr="00B63007">
        <w:rPr>
          <w:rFonts w:cs="Arial"/>
          <w:sz w:val="22"/>
          <w:szCs w:val="22"/>
        </w:rPr>
        <w:t xml:space="preserve">Source : </w:t>
      </w:r>
      <w:r w:rsidRPr="00B63007">
        <w:rPr>
          <w:rFonts w:cs="Arial"/>
          <w:i/>
          <w:sz w:val="22"/>
          <w:szCs w:val="22"/>
        </w:rPr>
        <w:t>Rapport 2016 sur la stratégie du commerce extérieur de la France et la politique commerciale européenne</w:t>
      </w:r>
      <w:r w:rsidRPr="00B63007">
        <w:rPr>
          <w:rFonts w:cs="Arial"/>
          <w:sz w:val="22"/>
          <w:szCs w:val="22"/>
        </w:rPr>
        <w:t xml:space="preserve">, Ministère des affaires étrangères </w:t>
      </w:r>
    </w:p>
    <w:p w:rsidR="00D82F9D" w:rsidRPr="00B63007" w:rsidRDefault="00D82F9D" w:rsidP="00D82F9D">
      <w:pPr>
        <w:jc w:val="right"/>
        <w:rPr>
          <w:rFonts w:cs="Arial"/>
          <w:sz w:val="22"/>
          <w:szCs w:val="22"/>
        </w:rPr>
      </w:pPr>
      <w:proofErr w:type="gramStart"/>
      <w:r w:rsidRPr="00B63007">
        <w:rPr>
          <w:rFonts w:cs="Arial"/>
          <w:sz w:val="22"/>
          <w:szCs w:val="22"/>
        </w:rPr>
        <w:t>et</w:t>
      </w:r>
      <w:proofErr w:type="gramEnd"/>
      <w:r w:rsidRPr="00B63007">
        <w:rPr>
          <w:rFonts w:cs="Arial"/>
          <w:sz w:val="22"/>
          <w:szCs w:val="22"/>
        </w:rPr>
        <w:t xml:space="preserve"> du développement international, 2017.</w:t>
      </w:r>
    </w:p>
    <w:p w:rsidR="004A2CF7" w:rsidRPr="00B63007" w:rsidRDefault="004A2CF7" w:rsidP="001A33DB">
      <w:pPr>
        <w:jc w:val="both"/>
        <w:rPr>
          <w:rFonts w:cs="Arial"/>
          <w:sz w:val="22"/>
          <w:szCs w:val="22"/>
        </w:rPr>
      </w:pPr>
    </w:p>
    <w:p w:rsidR="001A33DB" w:rsidRPr="00B63007" w:rsidRDefault="000B62BF" w:rsidP="001A33DB">
      <w:pPr>
        <w:jc w:val="both"/>
        <w:rPr>
          <w:rFonts w:cs="Arial"/>
          <w:sz w:val="22"/>
          <w:szCs w:val="22"/>
        </w:rPr>
      </w:pPr>
      <w:r w:rsidRPr="00B63007">
        <w:rPr>
          <w:rFonts w:cs="Arial"/>
          <w:sz w:val="22"/>
          <w:szCs w:val="22"/>
        </w:rPr>
        <w:t>*</w:t>
      </w:r>
      <w:r w:rsidR="001A33DB" w:rsidRPr="00B63007">
        <w:rPr>
          <w:rFonts w:cs="Arial"/>
          <w:sz w:val="22"/>
          <w:szCs w:val="22"/>
        </w:rPr>
        <w:t xml:space="preserve"> </w:t>
      </w:r>
      <w:r w:rsidR="00B63007">
        <w:rPr>
          <w:rFonts w:cs="Arial"/>
          <w:sz w:val="22"/>
          <w:szCs w:val="22"/>
        </w:rPr>
        <w:t>A</w:t>
      </w:r>
      <w:r w:rsidR="001A33DB" w:rsidRPr="00B63007">
        <w:rPr>
          <w:rFonts w:cs="Arial"/>
          <w:sz w:val="22"/>
          <w:szCs w:val="22"/>
        </w:rPr>
        <w:t xml:space="preserve">ccord commercial entre plusieurs pays d’Asie </w:t>
      </w:r>
      <w:r w:rsidR="00B63007">
        <w:rPr>
          <w:rFonts w:cs="Arial"/>
          <w:sz w:val="22"/>
          <w:szCs w:val="22"/>
        </w:rPr>
        <w:t>(</w:t>
      </w:r>
      <w:r w:rsidR="001A33DB" w:rsidRPr="00B63007">
        <w:rPr>
          <w:rFonts w:cs="Arial"/>
          <w:sz w:val="22"/>
          <w:szCs w:val="22"/>
        </w:rPr>
        <w:t>Philippines, Viêt Nam, Malaisie, etc.</w:t>
      </w:r>
      <w:r w:rsidR="00B63007">
        <w:rPr>
          <w:rFonts w:cs="Arial"/>
          <w:sz w:val="22"/>
          <w:szCs w:val="22"/>
        </w:rPr>
        <w:t>).</w:t>
      </w:r>
    </w:p>
    <w:p w:rsidR="001A33DB" w:rsidRDefault="001A33DB" w:rsidP="004A2CF7">
      <w:pPr>
        <w:jc w:val="right"/>
        <w:rPr>
          <w:rFonts w:cs="Arial"/>
        </w:rPr>
      </w:pPr>
    </w:p>
    <w:p w:rsidR="004A2CF7" w:rsidRDefault="004A2CF7">
      <w:pPr>
        <w:rPr>
          <w:rFonts w:cs="Arial"/>
          <w:sz w:val="24"/>
          <w:szCs w:val="24"/>
        </w:rPr>
      </w:pPr>
    </w:p>
    <w:sectPr w:rsidR="004A2CF7" w:rsidSect="005120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76A"/>
    <w:multiLevelType w:val="hybridMultilevel"/>
    <w:tmpl w:val="FBAA6ED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70F3C"/>
    <w:multiLevelType w:val="hybridMultilevel"/>
    <w:tmpl w:val="3A3A4C4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66072"/>
    <w:multiLevelType w:val="multilevel"/>
    <w:tmpl w:val="8F06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876B2"/>
    <w:multiLevelType w:val="hybridMultilevel"/>
    <w:tmpl w:val="AA7A7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45027F"/>
    <w:multiLevelType w:val="hybridMultilevel"/>
    <w:tmpl w:val="BE6842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96FBE"/>
    <w:multiLevelType w:val="hybridMultilevel"/>
    <w:tmpl w:val="5B6259D8"/>
    <w:lvl w:ilvl="0" w:tplc="0D0027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3D7B99"/>
    <w:multiLevelType w:val="hybridMultilevel"/>
    <w:tmpl w:val="82987108"/>
    <w:lvl w:ilvl="0" w:tplc="F1F4C27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C1B80"/>
    <w:multiLevelType w:val="hybridMultilevel"/>
    <w:tmpl w:val="7B1A27E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80C5E9F"/>
    <w:multiLevelType w:val="hybridMultilevel"/>
    <w:tmpl w:val="A13E519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70835EF"/>
    <w:multiLevelType w:val="multilevel"/>
    <w:tmpl w:val="BB7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27736"/>
    <w:multiLevelType w:val="hybridMultilevel"/>
    <w:tmpl w:val="46EC2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AE4A3A"/>
    <w:multiLevelType w:val="hybridMultilevel"/>
    <w:tmpl w:val="A8AC526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A5F7A"/>
    <w:multiLevelType w:val="hybridMultilevel"/>
    <w:tmpl w:val="ED882B5A"/>
    <w:lvl w:ilvl="0" w:tplc="FD8C813A">
      <w:start w:val="1"/>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523571"/>
    <w:multiLevelType w:val="hybridMultilevel"/>
    <w:tmpl w:val="CD6421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C3B5840"/>
    <w:multiLevelType w:val="hybridMultilevel"/>
    <w:tmpl w:val="4E1CE21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0401A95"/>
    <w:multiLevelType w:val="hybridMultilevel"/>
    <w:tmpl w:val="EBBC24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CD3DBA"/>
    <w:multiLevelType w:val="hybridMultilevel"/>
    <w:tmpl w:val="B308AA6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1"/>
  </w:num>
  <w:num w:numId="6">
    <w:abstractNumId w:val="15"/>
  </w:num>
  <w:num w:numId="7">
    <w:abstractNumId w:val="4"/>
  </w:num>
  <w:num w:numId="8">
    <w:abstractNumId w:val="3"/>
  </w:num>
  <w:num w:numId="9">
    <w:abstractNumId w:val="7"/>
  </w:num>
  <w:num w:numId="10">
    <w:abstractNumId w:val="13"/>
  </w:num>
  <w:num w:numId="11">
    <w:abstractNumId w:val="14"/>
  </w:num>
  <w:num w:numId="12">
    <w:abstractNumId w:val="8"/>
  </w:num>
  <w:num w:numId="13">
    <w:abstractNumId w:val="16"/>
  </w:num>
  <w:num w:numId="14">
    <w:abstractNumId w:val="9"/>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0C"/>
    <w:rsid w:val="00014380"/>
    <w:rsid w:val="00015D61"/>
    <w:rsid w:val="00022830"/>
    <w:rsid w:val="000310D6"/>
    <w:rsid w:val="00034A92"/>
    <w:rsid w:val="00053E32"/>
    <w:rsid w:val="00074B68"/>
    <w:rsid w:val="00075497"/>
    <w:rsid w:val="00077019"/>
    <w:rsid w:val="000816BF"/>
    <w:rsid w:val="00091361"/>
    <w:rsid w:val="0009387D"/>
    <w:rsid w:val="000B62BF"/>
    <w:rsid w:val="000C0E6A"/>
    <w:rsid w:val="00111967"/>
    <w:rsid w:val="00111F98"/>
    <w:rsid w:val="0012570B"/>
    <w:rsid w:val="00131828"/>
    <w:rsid w:val="001507E8"/>
    <w:rsid w:val="001600DE"/>
    <w:rsid w:val="00161A68"/>
    <w:rsid w:val="001621B8"/>
    <w:rsid w:val="001674FD"/>
    <w:rsid w:val="00181EB6"/>
    <w:rsid w:val="00195904"/>
    <w:rsid w:val="00196746"/>
    <w:rsid w:val="001A33DB"/>
    <w:rsid w:val="001A689E"/>
    <w:rsid w:val="001B0FF9"/>
    <w:rsid w:val="001B141F"/>
    <w:rsid w:val="001B2F3E"/>
    <w:rsid w:val="001B3A52"/>
    <w:rsid w:val="001B3E2F"/>
    <w:rsid w:val="001B46F9"/>
    <w:rsid w:val="001C5377"/>
    <w:rsid w:val="001D6C31"/>
    <w:rsid w:val="001E153F"/>
    <w:rsid w:val="001E2F20"/>
    <w:rsid w:val="001F276F"/>
    <w:rsid w:val="001F79E5"/>
    <w:rsid w:val="002076B4"/>
    <w:rsid w:val="002108E8"/>
    <w:rsid w:val="00213847"/>
    <w:rsid w:val="0021487A"/>
    <w:rsid w:val="00220BC6"/>
    <w:rsid w:val="00225EA2"/>
    <w:rsid w:val="00234C82"/>
    <w:rsid w:val="0024210E"/>
    <w:rsid w:val="0025399D"/>
    <w:rsid w:val="002736C8"/>
    <w:rsid w:val="00273CB0"/>
    <w:rsid w:val="002757F0"/>
    <w:rsid w:val="00277C4E"/>
    <w:rsid w:val="002832E8"/>
    <w:rsid w:val="00284F24"/>
    <w:rsid w:val="00286251"/>
    <w:rsid w:val="00292A34"/>
    <w:rsid w:val="002A1D65"/>
    <w:rsid w:val="002A3599"/>
    <w:rsid w:val="002B7FEE"/>
    <w:rsid w:val="002C6FEA"/>
    <w:rsid w:val="002E50DF"/>
    <w:rsid w:val="002F5782"/>
    <w:rsid w:val="00300963"/>
    <w:rsid w:val="00311D2D"/>
    <w:rsid w:val="00332743"/>
    <w:rsid w:val="00346FBA"/>
    <w:rsid w:val="00355580"/>
    <w:rsid w:val="0035710D"/>
    <w:rsid w:val="00360F55"/>
    <w:rsid w:val="0036521A"/>
    <w:rsid w:val="003753BD"/>
    <w:rsid w:val="003763DF"/>
    <w:rsid w:val="003771A1"/>
    <w:rsid w:val="003B673A"/>
    <w:rsid w:val="003C605E"/>
    <w:rsid w:val="003D095E"/>
    <w:rsid w:val="003D4A60"/>
    <w:rsid w:val="003E220A"/>
    <w:rsid w:val="00405008"/>
    <w:rsid w:val="00412EC4"/>
    <w:rsid w:val="00414E01"/>
    <w:rsid w:val="00431789"/>
    <w:rsid w:val="00431B5D"/>
    <w:rsid w:val="00446593"/>
    <w:rsid w:val="00455E6B"/>
    <w:rsid w:val="004662E5"/>
    <w:rsid w:val="00495B8C"/>
    <w:rsid w:val="004A261C"/>
    <w:rsid w:val="004A2CF7"/>
    <w:rsid w:val="004B092C"/>
    <w:rsid w:val="004B4638"/>
    <w:rsid w:val="004B6BF6"/>
    <w:rsid w:val="004C1B0A"/>
    <w:rsid w:val="004D1A7A"/>
    <w:rsid w:val="004D5578"/>
    <w:rsid w:val="004E1F57"/>
    <w:rsid w:val="004E387E"/>
    <w:rsid w:val="004F1C7D"/>
    <w:rsid w:val="00500311"/>
    <w:rsid w:val="00501079"/>
    <w:rsid w:val="00502C1D"/>
    <w:rsid w:val="005058A7"/>
    <w:rsid w:val="00511B0C"/>
    <w:rsid w:val="005120AD"/>
    <w:rsid w:val="00514D3D"/>
    <w:rsid w:val="00524778"/>
    <w:rsid w:val="005674D4"/>
    <w:rsid w:val="00575728"/>
    <w:rsid w:val="005773A6"/>
    <w:rsid w:val="0059272E"/>
    <w:rsid w:val="005943C3"/>
    <w:rsid w:val="005961BB"/>
    <w:rsid w:val="005C0CA2"/>
    <w:rsid w:val="005C622D"/>
    <w:rsid w:val="005E2FDF"/>
    <w:rsid w:val="005E6FE8"/>
    <w:rsid w:val="005E70E6"/>
    <w:rsid w:val="005F2D97"/>
    <w:rsid w:val="00602D92"/>
    <w:rsid w:val="00606889"/>
    <w:rsid w:val="0061374D"/>
    <w:rsid w:val="00616799"/>
    <w:rsid w:val="0062156E"/>
    <w:rsid w:val="006217C8"/>
    <w:rsid w:val="00630550"/>
    <w:rsid w:val="006335F0"/>
    <w:rsid w:val="0063753E"/>
    <w:rsid w:val="0064315D"/>
    <w:rsid w:val="00651758"/>
    <w:rsid w:val="00671078"/>
    <w:rsid w:val="0067302D"/>
    <w:rsid w:val="006828F0"/>
    <w:rsid w:val="006835CB"/>
    <w:rsid w:val="00685074"/>
    <w:rsid w:val="00685F47"/>
    <w:rsid w:val="00691E50"/>
    <w:rsid w:val="0069407F"/>
    <w:rsid w:val="006A394A"/>
    <w:rsid w:val="006B038A"/>
    <w:rsid w:val="006B4827"/>
    <w:rsid w:val="006B778F"/>
    <w:rsid w:val="006C3456"/>
    <w:rsid w:val="006C7E7C"/>
    <w:rsid w:val="006D31C3"/>
    <w:rsid w:val="006E5501"/>
    <w:rsid w:val="006F6246"/>
    <w:rsid w:val="00701A09"/>
    <w:rsid w:val="00723FBE"/>
    <w:rsid w:val="00726BE3"/>
    <w:rsid w:val="007405E4"/>
    <w:rsid w:val="00746C32"/>
    <w:rsid w:val="00752D18"/>
    <w:rsid w:val="00757BAB"/>
    <w:rsid w:val="007600D1"/>
    <w:rsid w:val="00764506"/>
    <w:rsid w:val="007656C4"/>
    <w:rsid w:val="00775ED3"/>
    <w:rsid w:val="0079612C"/>
    <w:rsid w:val="007C2C45"/>
    <w:rsid w:val="007E0879"/>
    <w:rsid w:val="007E2E63"/>
    <w:rsid w:val="007E5207"/>
    <w:rsid w:val="008113C5"/>
    <w:rsid w:val="0082082F"/>
    <w:rsid w:val="00820909"/>
    <w:rsid w:val="0082574E"/>
    <w:rsid w:val="00835FDC"/>
    <w:rsid w:val="00840076"/>
    <w:rsid w:val="00852B55"/>
    <w:rsid w:val="00856766"/>
    <w:rsid w:val="00863E95"/>
    <w:rsid w:val="00874CC7"/>
    <w:rsid w:val="00886E5A"/>
    <w:rsid w:val="008A298B"/>
    <w:rsid w:val="008A52CE"/>
    <w:rsid w:val="008B53B0"/>
    <w:rsid w:val="008D216B"/>
    <w:rsid w:val="008D391F"/>
    <w:rsid w:val="008E32DD"/>
    <w:rsid w:val="008F52EC"/>
    <w:rsid w:val="00905C71"/>
    <w:rsid w:val="00910C9F"/>
    <w:rsid w:val="00911191"/>
    <w:rsid w:val="00916B38"/>
    <w:rsid w:val="009220AB"/>
    <w:rsid w:val="009478F9"/>
    <w:rsid w:val="009542C5"/>
    <w:rsid w:val="00955EF2"/>
    <w:rsid w:val="00963EC1"/>
    <w:rsid w:val="009714DA"/>
    <w:rsid w:val="00994F51"/>
    <w:rsid w:val="009A4B29"/>
    <w:rsid w:val="009B0FB5"/>
    <w:rsid w:val="009B3A60"/>
    <w:rsid w:val="009B7DE2"/>
    <w:rsid w:val="009C1E9E"/>
    <w:rsid w:val="009C3535"/>
    <w:rsid w:val="00A0122B"/>
    <w:rsid w:val="00A02B15"/>
    <w:rsid w:val="00A27B18"/>
    <w:rsid w:val="00A3349C"/>
    <w:rsid w:val="00A40D36"/>
    <w:rsid w:val="00A450A0"/>
    <w:rsid w:val="00A706CA"/>
    <w:rsid w:val="00A7120C"/>
    <w:rsid w:val="00A74BC3"/>
    <w:rsid w:val="00A75E6C"/>
    <w:rsid w:val="00A95EFA"/>
    <w:rsid w:val="00AA03EA"/>
    <w:rsid w:val="00AB0AF6"/>
    <w:rsid w:val="00AC6192"/>
    <w:rsid w:val="00AF0913"/>
    <w:rsid w:val="00B10209"/>
    <w:rsid w:val="00B16601"/>
    <w:rsid w:val="00B379D8"/>
    <w:rsid w:val="00B47873"/>
    <w:rsid w:val="00B5364A"/>
    <w:rsid w:val="00B63007"/>
    <w:rsid w:val="00B64040"/>
    <w:rsid w:val="00B65C9E"/>
    <w:rsid w:val="00B80498"/>
    <w:rsid w:val="00B80E89"/>
    <w:rsid w:val="00B97A6A"/>
    <w:rsid w:val="00BB40EC"/>
    <w:rsid w:val="00BC4B37"/>
    <w:rsid w:val="00BC66DA"/>
    <w:rsid w:val="00BE2465"/>
    <w:rsid w:val="00BE763D"/>
    <w:rsid w:val="00BE7EAE"/>
    <w:rsid w:val="00BF0CBB"/>
    <w:rsid w:val="00BF7DAD"/>
    <w:rsid w:val="00C01553"/>
    <w:rsid w:val="00C04D60"/>
    <w:rsid w:val="00C33847"/>
    <w:rsid w:val="00C46E2F"/>
    <w:rsid w:val="00C611D6"/>
    <w:rsid w:val="00C6546E"/>
    <w:rsid w:val="00C66C8A"/>
    <w:rsid w:val="00C72754"/>
    <w:rsid w:val="00C72AE4"/>
    <w:rsid w:val="00C73203"/>
    <w:rsid w:val="00C9342A"/>
    <w:rsid w:val="00C95AB9"/>
    <w:rsid w:val="00CC436D"/>
    <w:rsid w:val="00CD64D9"/>
    <w:rsid w:val="00CD7A28"/>
    <w:rsid w:val="00D14E3D"/>
    <w:rsid w:val="00D17AB9"/>
    <w:rsid w:val="00D32FB5"/>
    <w:rsid w:val="00D43944"/>
    <w:rsid w:val="00D46EAD"/>
    <w:rsid w:val="00D47572"/>
    <w:rsid w:val="00D509AA"/>
    <w:rsid w:val="00D52EB3"/>
    <w:rsid w:val="00D67447"/>
    <w:rsid w:val="00D82D24"/>
    <w:rsid w:val="00D82F9D"/>
    <w:rsid w:val="00DD4C01"/>
    <w:rsid w:val="00DE3238"/>
    <w:rsid w:val="00DE74B5"/>
    <w:rsid w:val="00DF5116"/>
    <w:rsid w:val="00DF66B8"/>
    <w:rsid w:val="00E0104E"/>
    <w:rsid w:val="00E01243"/>
    <w:rsid w:val="00E22736"/>
    <w:rsid w:val="00E52700"/>
    <w:rsid w:val="00E53DD2"/>
    <w:rsid w:val="00E62BE2"/>
    <w:rsid w:val="00E63C72"/>
    <w:rsid w:val="00E64BAA"/>
    <w:rsid w:val="00E75EBB"/>
    <w:rsid w:val="00E775CE"/>
    <w:rsid w:val="00E86712"/>
    <w:rsid w:val="00E91A5E"/>
    <w:rsid w:val="00EB4A35"/>
    <w:rsid w:val="00EF7D58"/>
    <w:rsid w:val="00F104A3"/>
    <w:rsid w:val="00F11726"/>
    <w:rsid w:val="00F11A0B"/>
    <w:rsid w:val="00F57549"/>
    <w:rsid w:val="00F57C25"/>
    <w:rsid w:val="00F67586"/>
    <w:rsid w:val="00F77F9D"/>
    <w:rsid w:val="00F80B43"/>
    <w:rsid w:val="00F810C5"/>
    <w:rsid w:val="00F850EB"/>
    <w:rsid w:val="00FA4F72"/>
    <w:rsid w:val="00FB0D12"/>
    <w:rsid w:val="00FC28AD"/>
    <w:rsid w:val="00FC616F"/>
    <w:rsid w:val="00FD3FB0"/>
    <w:rsid w:val="00FD4CD0"/>
    <w:rsid w:val="00FD53B1"/>
    <w:rsid w:val="00FE242C"/>
    <w:rsid w:val="00FE4817"/>
    <w:rsid w:val="00FF1EB7"/>
    <w:rsid w:val="00FF351E"/>
    <w:rsid w:val="00FF3A51"/>
    <w:rsid w:val="00FF69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A08C-FA41-4379-AAAB-DF45389B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20C"/>
    <w:rPr>
      <w:rFonts w:ascii="Arial" w:hAnsi="Arial"/>
    </w:rPr>
  </w:style>
  <w:style w:type="paragraph" w:styleId="Titre1">
    <w:name w:val="heading 1"/>
    <w:basedOn w:val="Normal"/>
    <w:link w:val="Titre1Car"/>
    <w:uiPriority w:val="9"/>
    <w:qFormat/>
    <w:rsid w:val="00F77F9D"/>
    <w:pPr>
      <w:spacing w:before="100" w:beforeAutospacing="1" w:after="100" w:afterAutospacing="1"/>
      <w:outlineLvl w:val="0"/>
    </w:pPr>
    <w:rPr>
      <w:rFonts w:ascii="Times New Roman" w:eastAsia="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etitcar">
    <w:name w:val="corpetitcar"/>
    <w:uiPriority w:val="99"/>
    <w:rsid w:val="00A7120C"/>
    <w:rPr>
      <w:rFonts w:cs="Times New Roman"/>
    </w:rPr>
  </w:style>
  <w:style w:type="paragraph" w:customStyle="1" w:styleId="Corps">
    <w:name w:val="Corps"/>
    <w:uiPriority w:val="99"/>
    <w:rsid w:val="00A7120C"/>
    <w:rPr>
      <w:rFonts w:ascii="Helvetica" w:eastAsia="Calibri" w:hAnsi="Helvetica"/>
      <w:color w:val="000000"/>
      <w:sz w:val="24"/>
    </w:rPr>
  </w:style>
  <w:style w:type="table" w:styleId="Grilledutableau">
    <w:name w:val="Table Grid"/>
    <w:basedOn w:val="TableauNormal"/>
    <w:rsid w:val="00A95E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A95EFA"/>
    <w:rPr>
      <w:rFonts w:ascii="Times New Roman" w:eastAsia="Times New Roman" w:hAnsi="Times New Roman"/>
      <w:b/>
      <w:bCs/>
    </w:rPr>
  </w:style>
  <w:style w:type="paragraph" w:customStyle="1" w:styleId="TableParagraph">
    <w:name w:val="Table Paragraph"/>
    <w:basedOn w:val="Normal"/>
    <w:uiPriority w:val="1"/>
    <w:qFormat/>
    <w:rsid w:val="0063753E"/>
    <w:pPr>
      <w:widowControl w:val="0"/>
      <w:spacing w:line="243" w:lineRule="exact"/>
      <w:ind w:left="103"/>
    </w:pPr>
    <w:rPr>
      <w:rFonts w:ascii="Calibri" w:eastAsia="Times New Roman" w:hAnsi="Calibri" w:cs="Calibri"/>
      <w:sz w:val="22"/>
      <w:szCs w:val="22"/>
      <w:lang w:val="en-US" w:eastAsia="en-US"/>
    </w:rPr>
  </w:style>
  <w:style w:type="paragraph" w:customStyle="1" w:styleId="Paragraphedeliste1">
    <w:name w:val="Paragraphe de liste1"/>
    <w:basedOn w:val="Normal"/>
    <w:rsid w:val="0063753E"/>
    <w:pPr>
      <w:widowControl w:val="0"/>
      <w:ind w:left="387" w:right="1" w:hanging="271"/>
      <w:jc w:val="both"/>
    </w:pPr>
    <w:rPr>
      <w:rFonts w:ascii="Calibri" w:eastAsia="Times New Roman" w:hAnsi="Calibri" w:cs="Calibri"/>
      <w:sz w:val="22"/>
      <w:szCs w:val="22"/>
      <w:lang w:val="en-US" w:eastAsia="en-US"/>
    </w:rPr>
  </w:style>
  <w:style w:type="paragraph" w:styleId="Corpsdetexte">
    <w:name w:val="Body Text"/>
    <w:basedOn w:val="Normal"/>
    <w:link w:val="CorpsdetexteCar"/>
    <w:uiPriority w:val="1"/>
    <w:qFormat/>
    <w:rsid w:val="009C1E9E"/>
    <w:pPr>
      <w:widowControl w:val="0"/>
    </w:pPr>
    <w:rPr>
      <w:rFonts w:ascii="Times New Roman" w:eastAsia="Times New Roman" w:hAnsi="Times New Roman"/>
      <w:sz w:val="24"/>
      <w:szCs w:val="24"/>
      <w:lang w:val="en-US" w:eastAsia="en-US"/>
    </w:rPr>
  </w:style>
  <w:style w:type="character" w:customStyle="1" w:styleId="CorpsdetexteCar">
    <w:name w:val="Corps de texte Car"/>
    <w:link w:val="Corpsdetexte"/>
    <w:uiPriority w:val="1"/>
    <w:rsid w:val="009C1E9E"/>
    <w:rPr>
      <w:rFonts w:ascii="Times New Roman" w:eastAsia="Times New Roman" w:hAnsi="Times New Roman"/>
      <w:sz w:val="24"/>
      <w:szCs w:val="24"/>
      <w:lang w:val="en-US" w:eastAsia="en-US"/>
    </w:rPr>
  </w:style>
  <w:style w:type="paragraph" w:styleId="Textedebulles">
    <w:name w:val="Balloon Text"/>
    <w:basedOn w:val="Normal"/>
    <w:link w:val="TextedebullesCar"/>
    <w:uiPriority w:val="99"/>
    <w:semiHidden/>
    <w:unhideWhenUsed/>
    <w:rsid w:val="009C1E9E"/>
    <w:pPr>
      <w:widowControl w:val="0"/>
    </w:pPr>
    <w:rPr>
      <w:rFonts w:ascii="Tahoma" w:eastAsia="Times New Roman" w:hAnsi="Tahoma" w:cs="Tahoma"/>
      <w:sz w:val="16"/>
      <w:szCs w:val="16"/>
      <w:lang w:val="en-US" w:eastAsia="en-US"/>
    </w:rPr>
  </w:style>
  <w:style w:type="character" w:customStyle="1" w:styleId="TextedebullesCar">
    <w:name w:val="Texte de bulles Car"/>
    <w:link w:val="Textedebulles"/>
    <w:uiPriority w:val="99"/>
    <w:semiHidden/>
    <w:rsid w:val="009C1E9E"/>
    <w:rPr>
      <w:rFonts w:ascii="Tahoma" w:eastAsia="Times New Roman" w:hAnsi="Tahoma" w:cs="Tahoma"/>
      <w:sz w:val="16"/>
      <w:szCs w:val="16"/>
      <w:lang w:val="en-US" w:eastAsia="en-US"/>
    </w:rPr>
  </w:style>
  <w:style w:type="paragraph" w:customStyle="1" w:styleId="Titre11">
    <w:name w:val="Titre 11"/>
    <w:basedOn w:val="Normal"/>
    <w:uiPriority w:val="1"/>
    <w:qFormat/>
    <w:rsid w:val="00F57C25"/>
    <w:pPr>
      <w:widowControl w:val="0"/>
      <w:spacing w:before="37"/>
      <w:ind w:left="116"/>
      <w:jc w:val="both"/>
      <w:outlineLvl w:val="1"/>
    </w:pPr>
    <w:rPr>
      <w:rFonts w:ascii="Calibri" w:eastAsia="Calibri" w:hAnsi="Calibri" w:cs="Calibri"/>
      <w:b/>
      <w:bCs/>
      <w:sz w:val="22"/>
      <w:szCs w:val="22"/>
      <w:lang w:val="en-US" w:eastAsia="en-US"/>
    </w:rPr>
  </w:style>
  <w:style w:type="character" w:customStyle="1" w:styleId="apple-converted-space">
    <w:name w:val="apple-converted-space"/>
    <w:rsid w:val="00886E5A"/>
  </w:style>
  <w:style w:type="character" w:styleId="Lienhypertexte">
    <w:name w:val="Hyperlink"/>
    <w:uiPriority w:val="99"/>
    <w:unhideWhenUsed/>
    <w:rsid w:val="00886E5A"/>
    <w:rPr>
      <w:color w:val="0000FF"/>
      <w:u w:val="single"/>
    </w:rPr>
  </w:style>
  <w:style w:type="paragraph" w:customStyle="1" w:styleId="Default">
    <w:name w:val="Default"/>
    <w:rsid w:val="001E153F"/>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basedOn w:val="Policepardfaut"/>
    <w:uiPriority w:val="99"/>
    <w:semiHidden/>
    <w:unhideWhenUsed/>
    <w:rsid w:val="004D1A7A"/>
    <w:rPr>
      <w:sz w:val="16"/>
      <w:szCs w:val="16"/>
    </w:rPr>
  </w:style>
  <w:style w:type="paragraph" w:styleId="Commentaire">
    <w:name w:val="annotation text"/>
    <w:basedOn w:val="Normal"/>
    <w:link w:val="CommentaireCar"/>
    <w:uiPriority w:val="99"/>
    <w:semiHidden/>
    <w:unhideWhenUsed/>
    <w:rsid w:val="004D1A7A"/>
  </w:style>
  <w:style w:type="character" w:customStyle="1" w:styleId="CommentaireCar">
    <w:name w:val="Commentaire Car"/>
    <w:basedOn w:val="Policepardfaut"/>
    <w:link w:val="Commentaire"/>
    <w:uiPriority w:val="99"/>
    <w:semiHidden/>
    <w:rsid w:val="004D1A7A"/>
    <w:rPr>
      <w:rFonts w:ascii="Arial" w:hAnsi="Arial"/>
    </w:rPr>
  </w:style>
  <w:style w:type="paragraph" w:styleId="Objetducommentaire">
    <w:name w:val="annotation subject"/>
    <w:basedOn w:val="Commentaire"/>
    <w:next w:val="Commentaire"/>
    <w:link w:val="ObjetducommentaireCar"/>
    <w:uiPriority w:val="99"/>
    <w:semiHidden/>
    <w:unhideWhenUsed/>
    <w:rsid w:val="004D1A7A"/>
    <w:rPr>
      <w:b/>
      <w:bCs/>
    </w:rPr>
  </w:style>
  <w:style w:type="character" w:customStyle="1" w:styleId="ObjetducommentaireCar">
    <w:name w:val="Objet du commentaire Car"/>
    <w:basedOn w:val="CommentaireCar"/>
    <w:link w:val="Objetducommentaire"/>
    <w:uiPriority w:val="99"/>
    <w:semiHidden/>
    <w:rsid w:val="004D1A7A"/>
    <w:rPr>
      <w:rFonts w:ascii="Arial" w:hAnsi="Arial"/>
      <w:b/>
      <w:bCs/>
    </w:rPr>
  </w:style>
  <w:style w:type="paragraph" w:customStyle="1" w:styleId="Textbody">
    <w:name w:val="Text body"/>
    <w:basedOn w:val="Normal"/>
    <w:rsid w:val="00863E95"/>
    <w:pPr>
      <w:suppressAutoHyphens/>
      <w:autoSpaceDN w:val="0"/>
      <w:spacing w:after="120"/>
      <w:textAlignment w:val="baseline"/>
    </w:pPr>
    <w:rPr>
      <w:rFonts w:ascii="Times New Roman" w:eastAsia="Times New Roman" w:hAnsi="Times New Roman"/>
      <w:kern w:val="3"/>
      <w:sz w:val="24"/>
      <w:szCs w:val="24"/>
      <w:lang w:eastAsia="zh-CN"/>
    </w:rPr>
  </w:style>
  <w:style w:type="paragraph" w:styleId="Paragraphedeliste">
    <w:name w:val="List Paragraph"/>
    <w:basedOn w:val="Normal"/>
    <w:uiPriority w:val="34"/>
    <w:qFormat/>
    <w:rsid w:val="002832E8"/>
    <w:pPr>
      <w:ind w:left="720"/>
      <w:contextualSpacing/>
    </w:pPr>
  </w:style>
  <w:style w:type="character" w:customStyle="1" w:styleId="Titre1Car">
    <w:name w:val="Titre 1 Car"/>
    <w:basedOn w:val="Policepardfaut"/>
    <w:link w:val="Titre1"/>
    <w:uiPriority w:val="9"/>
    <w:rsid w:val="00F77F9D"/>
    <w:rPr>
      <w:rFonts w:ascii="Times New Roman" w:eastAsia="Times New Roman" w:hAnsi="Times New Roman"/>
      <w:b/>
      <w:bCs/>
      <w:kern w:val="36"/>
      <w:sz w:val="48"/>
      <w:szCs w:val="48"/>
    </w:rPr>
  </w:style>
  <w:style w:type="paragraph" w:styleId="NormalWeb">
    <w:name w:val="Normal (Web)"/>
    <w:basedOn w:val="Normal"/>
    <w:uiPriority w:val="99"/>
    <w:unhideWhenUsed/>
    <w:rsid w:val="00F77F9D"/>
    <w:pPr>
      <w:spacing w:before="100" w:beforeAutospacing="1" w:after="100" w:afterAutospacing="1"/>
    </w:pPr>
    <w:rPr>
      <w:rFonts w:ascii="Times New Roman" w:eastAsia="Times New Roman" w:hAnsi="Times New Roman"/>
      <w:sz w:val="24"/>
      <w:szCs w:val="24"/>
    </w:rPr>
  </w:style>
  <w:style w:type="character" w:styleId="lev">
    <w:name w:val="Strong"/>
    <w:basedOn w:val="Policepardfaut"/>
    <w:uiPriority w:val="22"/>
    <w:qFormat/>
    <w:rsid w:val="00F77F9D"/>
    <w:rPr>
      <w:b/>
      <w:bCs/>
    </w:rPr>
  </w:style>
  <w:style w:type="character" w:styleId="Accentuation">
    <w:name w:val="Emphasis"/>
    <w:basedOn w:val="Policepardfaut"/>
    <w:uiPriority w:val="20"/>
    <w:qFormat/>
    <w:rsid w:val="00F77F9D"/>
    <w:rPr>
      <w:i/>
      <w:iCs/>
    </w:rPr>
  </w:style>
  <w:style w:type="paragraph" w:customStyle="1" w:styleId="TB2">
    <w:name w:val="TB2"/>
    <w:basedOn w:val="Normal"/>
    <w:next w:val="Normal"/>
    <w:rsid w:val="0059272E"/>
    <w:pPr>
      <w:pBdr>
        <w:between w:val="single" w:sz="6" w:space="1" w:color="auto"/>
      </w:pBdr>
      <w:tabs>
        <w:tab w:val="left" w:pos="2552"/>
        <w:tab w:val="left" w:pos="7938"/>
      </w:tabs>
      <w:overflowPunct w:val="0"/>
      <w:autoSpaceDE w:val="0"/>
      <w:autoSpaceDN w:val="0"/>
      <w:adjustRightInd w:val="0"/>
      <w:spacing w:before="60" w:after="60"/>
      <w:textAlignment w:val="baseline"/>
    </w:pPr>
    <w:rPr>
      <w:rFonts w:ascii="Times New Roman" w:eastAsia="Times New Roman" w:hAnsi="Times New Roman"/>
      <w:b/>
    </w:rPr>
  </w:style>
  <w:style w:type="paragraph" w:customStyle="1" w:styleId="TB3">
    <w:name w:val="TB3"/>
    <w:basedOn w:val="TB2"/>
    <w:rsid w:val="0059272E"/>
    <w:rPr>
      <w:b w:val="0"/>
    </w:rPr>
  </w:style>
  <w:style w:type="paragraph" w:customStyle="1" w:styleId="Source">
    <w:name w:val="Source"/>
    <w:basedOn w:val="Normal"/>
    <w:next w:val="Normal"/>
    <w:rsid w:val="0059272E"/>
    <w:pPr>
      <w:overflowPunct w:val="0"/>
      <w:autoSpaceDE w:val="0"/>
      <w:autoSpaceDN w:val="0"/>
      <w:adjustRightInd w:val="0"/>
      <w:spacing w:before="60" w:after="120"/>
      <w:ind w:left="567"/>
      <w:textAlignment w:val="baseline"/>
    </w:pPr>
    <w:rPr>
      <w:rFonts w:ascii="Times New Roman" w:eastAsia="Times New Roman" w:hAnsi="Times New Roman"/>
      <w:sz w:val="16"/>
    </w:rPr>
  </w:style>
  <w:style w:type="character" w:customStyle="1" w:styleId="Mentionnonrsolue1">
    <w:name w:val="Mention non résolue1"/>
    <w:basedOn w:val="Policepardfaut"/>
    <w:uiPriority w:val="99"/>
    <w:semiHidden/>
    <w:unhideWhenUsed/>
    <w:rsid w:val="00D674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97277">
      <w:bodyDiv w:val="1"/>
      <w:marLeft w:val="0"/>
      <w:marRight w:val="0"/>
      <w:marTop w:val="0"/>
      <w:marBottom w:val="0"/>
      <w:divBdr>
        <w:top w:val="none" w:sz="0" w:space="0" w:color="auto"/>
        <w:left w:val="none" w:sz="0" w:space="0" w:color="auto"/>
        <w:bottom w:val="none" w:sz="0" w:space="0" w:color="auto"/>
        <w:right w:val="none" w:sz="0" w:space="0" w:color="auto"/>
      </w:divBdr>
      <w:divsChild>
        <w:div w:id="225268395">
          <w:marLeft w:val="0"/>
          <w:marRight w:val="0"/>
          <w:marTop w:val="0"/>
          <w:marBottom w:val="0"/>
          <w:divBdr>
            <w:top w:val="none" w:sz="0" w:space="0" w:color="auto"/>
            <w:left w:val="none" w:sz="0" w:space="0" w:color="auto"/>
            <w:bottom w:val="none" w:sz="0" w:space="0" w:color="auto"/>
            <w:right w:val="none" w:sz="0" w:space="0" w:color="auto"/>
          </w:divBdr>
        </w:div>
      </w:divsChild>
    </w:div>
    <w:div w:id="554465267">
      <w:bodyDiv w:val="1"/>
      <w:marLeft w:val="0"/>
      <w:marRight w:val="0"/>
      <w:marTop w:val="0"/>
      <w:marBottom w:val="0"/>
      <w:divBdr>
        <w:top w:val="none" w:sz="0" w:space="0" w:color="auto"/>
        <w:left w:val="none" w:sz="0" w:space="0" w:color="auto"/>
        <w:bottom w:val="none" w:sz="0" w:space="0" w:color="auto"/>
        <w:right w:val="none" w:sz="0" w:space="0" w:color="auto"/>
      </w:divBdr>
    </w:div>
    <w:div w:id="679697429">
      <w:bodyDiv w:val="1"/>
      <w:marLeft w:val="0"/>
      <w:marRight w:val="0"/>
      <w:marTop w:val="0"/>
      <w:marBottom w:val="0"/>
      <w:divBdr>
        <w:top w:val="none" w:sz="0" w:space="0" w:color="auto"/>
        <w:left w:val="none" w:sz="0" w:space="0" w:color="auto"/>
        <w:bottom w:val="none" w:sz="0" w:space="0" w:color="auto"/>
        <w:right w:val="none" w:sz="0" w:space="0" w:color="auto"/>
      </w:divBdr>
    </w:div>
    <w:div w:id="727151474">
      <w:bodyDiv w:val="1"/>
      <w:marLeft w:val="0"/>
      <w:marRight w:val="0"/>
      <w:marTop w:val="0"/>
      <w:marBottom w:val="0"/>
      <w:divBdr>
        <w:top w:val="none" w:sz="0" w:space="0" w:color="auto"/>
        <w:left w:val="none" w:sz="0" w:space="0" w:color="auto"/>
        <w:bottom w:val="none" w:sz="0" w:space="0" w:color="auto"/>
        <w:right w:val="none" w:sz="0" w:space="0" w:color="auto"/>
      </w:divBdr>
      <w:divsChild>
        <w:div w:id="286467973">
          <w:marLeft w:val="0"/>
          <w:marRight w:val="0"/>
          <w:marTop w:val="240"/>
          <w:marBottom w:val="0"/>
          <w:divBdr>
            <w:top w:val="single" w:sz="6" w:space="11" w:color="DDDDDD"/>
            <w:left w:val="single" w:sz="6" w:space="11" w:color="F0F0F0"/>
            <w:bottom w:val="single" w:sz="6" w:space="11" w:color="FBFBFB"/>
            <w:right w:val="single" w:sz="6" w:space="11" w:color="F0F0F0"/>
          </w:divBdr>
          <w:divsChild>
            <w:div w:id="2072655402">
              <w:marLeft w:val="0"/>
              <w:marRight w:val="0"/>
              <w:marTop w:val="0"/>
              <w:marBottom w:val="0"/>
              <w:divBdr>
                <w:top w:val="none" w:sz="0" w:space="0" w:color="auto"/>
                <w:left w:val="none" w:sz="0" w:space="0" w:color="auto"/>
                <w:bottom w:val="none" w:sz="0" w:space="0" w:color="auto"/>
                <w:right w:val="none" w:sz="0" w:space="0" w:color="auto"/>
              </w:divBdr>
              <w:divsChild>
                <w:div w:id="1664970344">
                  <w:marLeft w:val="0"/>
                  <w:marRight w:val="0"/>
                  <w:marTop w:val="0"/>
                  <w:marBottom w:val="0"/>
                  <w:divBdr>
                    <w:top w:val="none" w:sz="0" w:space="0" w:color="auto"/>
                    <w:left w:val="none" w:sz="0" w:space="0" w:color="auto"/>
                    <w:bottom w:val="none" w:sz="0" w:space="0" w:color="auto"/>
                    <w:right w:val="none" w:sz="0" w:space="0" w:color="auto"/>
                  </w:divBdr>
                </w:div>
                <w:div w:id="983391366">
                  <w:marLeft w:val="0"/>
                  <w:marRight w:val="0"/>
                  <w:marTop w:val="0"/>
                  <w:marBottom w:val="0"/>
                  <w:divBdr>
                    <w:top w:val="none" w:sz="0" w:space="0" w:color="auto"/>
                    <w:left w:val="none" w:sz="0" w:space="0" w:color="auto"/>
                    <w:bottom w:val="none" w:sz="0" w:space="0" w:color="auto"/>
                    <w:right w:val="none" w:sz="0" w:space="0" w:color="auto"/>
                  </w:divBdr>
                </w:div>
                <w:div w:id="773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81993">
      <w:bodyDiv w:val="1"/>
      <w:marLeft w:val="0"/>
      <w:marRight w:val="0"/>
      <w:marTop w:val="0"/>
      <w:marBottom w:val="0"/>
      <w:divBdr>
        <w:top w:val="none" w:sz="0" w:space="0" w:color="auto"/>
        <w:left w:val="none" w:sz="0" w:space="0" w:color="auto"/>
        <w:bottom w:val="none" w:sz="0" w:space="0" w:color="auto"/>
        <w:right w:val="none" w:sz="0" w:space="0" w:color="auto"/>
      </w:divBdr>
    </w:div>
    <w:div w:id="1705205442">
      <w:bodyDiv w:val="1"/>
      <w:marLeft w:val="0"/>
      <w:marRight w:val="0"/>
      <w:marTop w:val="0"/>
      <w:marBottom w:val="0"/>
      <w:divBdr>
        <w:top w:val="none" w:sz="0" w:space="0" w:color="auto"/>
        <w:left w:val="none" w:sz="0" w:space="0" w:color="auto"/>
        <w:bottom w:val="none" w:sz="0" w:space="0" w:color="auto"/>
        <w:right w:val="none" w:sz="0" w:space="0" w:color="auto"/>
      </w:divBdr>
    </w:div>
    <w:div w:id="1994870528">
      <w:bodyDiv w:val="1"/>
      <w:marLeft w:val="0"/>
      <w:marRight w:val="0"/>
      <w:marTop w:val="0"/>
      <w:marBottom w:val="0"/>
      <w:divBdr>
        <w:top w:val="none" w:sz="0" w:space="0" w:color="auto"/>
        <w:left w:val="none" w:sz="0" w:space="0" w:color="auto"/>
        <w:bottom w:val="none" w:sz="0" w:space="0" w:color="auto"/>
        <w:right w:val="none" w:sz="0" w:space="0" w:color="auto"/>
      </w:divBdr>
    </w:div>
    <w:div w:id="2022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Feuil1!$B$1</c:f>
              <c:strCache>
                <c:ptCount val="1"/>
                <c:pt idx="0">
                  <c:v>Demande intérieure</c:v>
                </c:pt>
              </c:strCache>
            </c:strRef>
          </c:tx>
          <c:spPr>
            <a:solidFill>
              <a:schemeClr val="dk1">
                <a:tint val="88500"/>
              </a:schemeClr>
            </a:solidFill>
            <a:ln>
              <a:noFill/>
            </a:ln>
            <a:effectLst/>
          </c:spPr>
          <c:invertIfNegative val="0"/>
          <c:cat>
            <c:numRef>
              <c:f>Feuil1!$A$2:$A$23</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Feuil1!$B$2:$B$23</c:f>
              <c:numCache>
                <c:formatCode>General</c:formatCode>
                <c:ptCount val="22"/>
                <c:pt idx="0">
                  <c:v>-0.91431556948797787</c:v>
                </c:pt>
                <c:pt idx="1">
                  <c:v>0.93593461639862596</c:v>
                </c:pt>
                <c:pt idx="2">
                  <c:v>0.6834704627573851</c:v>
                </c:pt>
                <c:pt idx="3">
                  <c:v>5.1885160844000744E-2</c:v>
                </c:pt>
                <c:pt idx="4">
                  <c:v>1.179775280898876</c:v>
                </c:pt>
                <c:pt idx="5">
                  <c:v>1.9476359287575296</c:v>
                </c:pt>
                <c:pt idx="6">
                  <c:v>2.5011521219992394</c:v>
                </c:pt>
                <c:pt idx="7">
                  <c:v>2.6077004823019667</c:v>
                </c:pt>
                <c:pt idx="8">
                  <c:v>1.0874760994263877</c:v>
                </c:pt>
                <c:pt idx="9">
                  <c:v>0.65413563462979329</c:v>
                </c:pt>
                <c:pt idx="10">
                  <c:v>-0.156598676741182</c:v>
                </c:pt>
                <c:pt idx="11">
                  <c:v>0.47837509312629312</c:v>
                </c:pt>
                <c:pt idx="12">
                  <c:v>0.741463414634147</c:v>
                </c:pt>
                <c:pt idx="13">
                  <c:v>1.212473368196787</c:v>
                </c:pt>
                <c:pt idx="14">
                  <c:v>1.3586956521739024</c:v>
                </c:pt>
                <c:pt idx="15">
                  <c:v>-0.54752105124041828</c:v>
                </c:pt>
                <c:pt idx="16">
                  <c:v>-0.80112385146936527</c:v>
                </c:pt>
                <c:pt idx="17">
                  <c:v>0.60473839323305079</c:v>
                </c:pt>
                <c:pt idx="18">
                  <c:v>0.53262316910784868</c:v>
                </c:pt>
                <c:pt idx="19">
                  <c:v>0.1059602649006619</c:v>
                </c:pt>
                <c:pt idx="20">
                  <c:v>0.67667183306241441</c:v>
                </c:pt>
                <c:pt idx="21">
                  <c:v>0.12391108440972243</c:v>
                </c:pt>
              </c:numCache>
            </c:numRef>
          </c:val>
          <c:extLst>
            <c:ext xmlns:c16="http://schemas.microsoft.com/office/drawing/2014/chart" uri="{C3380CC4-5D6E-409C-BE32-E72D297353CC}">
              <c16:uniqueId val="{00000000-BE7B-4CEC-A6BD-63E770410A1E}"/>
            </c:ext>
          </c:extLst>
        </c:ser>
        <c:ser>
          <c:idx val="1"/>
          <c:order val="1"/>
          <c:tx>
            <c:strRef>
              <c:f>Feuil1!$C$1</c:f>
              <c:strCache>
                <c:ptCount val="1"/>
                <c:pt idx="0">
                  <c:v>Emploi</c:v>
                </c:pt>
              </c:strCache>
            </c:strRef>
          </c:tx>
          <c:spPr>
            <a:solidFill>
              <a:schemeClr val="dk1">
                <a:tint val="55000"/>
              </a:schemeClr>
            </a:solidFill>
            <a:ln>
              <a:noFill/>
            </a:ln>
            <a:effectLst/>
          </c:spPr>
          <c:invertIfNegative val="0"/>
          <c:cat>
            <c:numRef>
              <c:f>Feuil1!$A$2:$A$23</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Feuil1!$C$2:$C$23</c:f>
              <c:numCache>
                <c:formatCode>#,##0.0</c:formatCode>
                <c:ptCount val="22"/>
                <c:pt idx="0">
                  <c:v>-0.43283625842907725</c:v>
                </c:pt>
                <c:pt idx="1">
                  <c:v>1.3505406911893374</c:v>
                </c:pt>
                <c:pt idx="2">
                  <c:v>1.2588518194017979</c:v>
                </c:pt>
                <c:pt idx="3">
                  <c:v>1.7967981300909912</c:v>
                </c:pt>
                <c:pt idx="4">
                  <c:v>0.760993625262671</c:v>
                </c:pt>
                <c:pt idx="5">
                  <c:v>3.3912657566015127</c:v>
                </c:pt>
                <c:pt idx="6">
                  <c:v>3.9414367450856673</c:v>
                </c:pt>
                <c:pt idx="7">
                  <c:v>3.8773942860869823</c:v>
                </c:pt>
                <c:pt idx="8">
                  <c:v>2.1404201152842433</c:v>
                </c:pt>
                <c:pt idx="9">
                  <c:v>1.3474514831945186</c:v>
                </c:pt>
                <c:pt idx="10">
                  <c:v>1.6782278975974947</c:v>
                </c:pt>
                <c:pt idx="11">
                  <c:v>2.3645260012330169</c:v>
                </c:pt>
                <c:pt idx="12">
                  <c:v>2.3130089919609134</c:v>
                </c:pt>
                <c:pt idx="13">
                  <c:v>2.3182113108135809</c:v>
                </c:pt>
                <c:pt idx="14">
                  <c:v>3.0199171861763148</c:v>
                </c:pt>
                <c:pt idx="15">
                  <c:v>0.68658983965583786</c:v>
                </c:pt>
                <c:pt idx="16">
                  <c:v>-1.4785742870521403</c:v>
                </c:pt>
                <c:pt idx="17">
                  <c:v>1.7623584382392465</c:v>
                </c:pt>
                <c:pt idx="18">
                  <c:v>0.94536723485106222</c:v>
                </c:pt>
                <c:pt idx="19">
                  <c:v>0.30501155838295801</c:v>
                </c:pt>
                <c:pt idx="20">
                  <c:v>0.43200642514449328</c:v>
                </c:pt>
                <c:pt idx="21">
                  <c:v>0.57715215154355803</c:v>
                </c:pt>
              </c:numCache>
            </c:numRef>
          </c:val>
          <c:extLst>
            <c:ext xmlns:c16="http://schemas.microsoft.com/office/drawing/2014/chart" uri="{C3380CC4-5D6E-409C-BE32-E72D297353CC}">
              <c16:uniqueId val="{00000001-BE7B-4CEC-A6BD-63E770410A1E}"/>
            </c:ext>
          </c:extLst>
        </c:ser>
        <c:dLbls>
          <c:showLegendKey val="0"/>
          <c:showVal val="0"/>
          <c:showCatName val="0"/>
          <c:showSerName val="0"/>
          <c:showPercent val="0"/>
          <c:showBubbleSize val="0"/>
        </c:dLbls>
        <c:gapWidth val="80"/>
        <c:axId val="244491776"/>
        <c:axId val="244493312"/>
      </c:barChart>
      <c:catAx>
        <c:axId val="244491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4493312"/>
        <c:crosses val="autoZero"/>
        <c:auto val="1"/>
        <c:lblAlgn val="ctr"/>
        <c:lblOffset val="100"/>
        <c:noMultiLvlLbl val="0"/>
      </c:catAx>
      <c:valAx>
        <c:axId val="24449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4491776"/>
        <c:crosses val="autoZero"/>
        <c:crossBetween val="between"/>
      </c:valAx>
      <c:spPr>
        <a:noFill/>
        <a:ln>
          <a:solidFill>
            <a:schemeClr val="tx1">
              <a:lumMod val="15000"/>
              <a:lumOff val="8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98F4-E252-4928-87FA-0AB74431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Dissertation s’appuyant sur un dossier documentaire</vt:lpstr>
    </vt:vector>
  </TitlesOfParts>
  <Company>Lycée Robert doisneau</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s’appuyant sur un dossier documentaire</dc:title>
  <dc:creator>Marc Pelletier</dc:creator>
  <cp:lastModifiedBy>Cyrille Coissieu</cp:lastModifiedBy>
  <cp:revision>3</cp:revision>
  <cp:lastPrinted>2016-11-10T06:53:00Z</cp:lastPrinted>
  <dcterms:created xsi:type="dcterms:W3CDTF">2018-01-15T01:11:00Z</dcterms:created>
  <dcterms:modified xsi:type="dcterms:W3CDTF">2018-01-15T01:11:00Z</dcterms:modified>
</cp:coreProperties>
</file>